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65FCC" w14:textId="48300EC7" w:rsidR="006C27BD" w:rsidRPr="006C27BD" w:rsidRDefault="006C27BD" w:rsidP="006C27BD">
      <w:pPr>
        <w:spacing w:after="160" w:line="259" w:lineRule="auto"/>
        <w:jc w:val="center"/>
        <w:rPr>
          <w:b/>
          <w:bCs/>
          <w:sz w:val="32"/>
          <w:szCs w:val="32"/>
          <w:lang w:val="en-CA"/>
        </w:rPr>
      </w:pPr>
      <w:r w:rsidRPr="006C27BD">
        <w:rPr>
          <w:b/>
          <w:bCs/>
          <w:sz w:val="32"/>
          <w:szCs w:val="32"/>
          <w:lang w:val="en-CA"/>
        </w:rPr>
        <w:t xml:space="preserve">UCGSA </w:t>
      </w:r>
      <w:r w:rsidR="00F31C77">
        <w:rPr>
          <w:b/>
          <w:bCs/>
          <w:sz w:val="32"/>
          <w:szCs w:val="32"/>
          <w:lang w:val="en-CA"/>
        </w:rPr>
        <w:t>Brief on Target vs Base, Human Capital, and Graduate Student Productivity</w:t>
      </w:r>
    </w:p>
    <w:p w14:paraId="0FC5E4E9" w14:textId="77777777" w:rsidR="006C27BD" w:rsidRDefault="006C27BD" w:rsidP="006C27BD">
      <w:pPr>
        <w:pBdr>
          <w:bottom w:val="single" w:sz="6" w:space="1" w:color="auto"/>
        </w:pBdr>
        <w:spacing w:after="160" w:line="259" w:lineRule="auto"/>
        <w:jc w:val="center"/>
        <w:rPr>
          <w:sz w:val="24"/>
          <w:szCs w:val="24"/>
          <w:lang w:val="en-CA"/>
        </w:rPr>
      </w:pPr>
      <w:r w:rsidRPr="006C27BD">
        <w:rPr>
          <w:sz w:val="24"/>
          <w:szCs w:val="24"/>
          <w:lang w:val="en-CA"/>
        </w:rPr>
        <w:t>November 19</w:t>
      </w:r>
      <w:r w:rsidRPr="006C27BD">
        <w:rPr>
          <w:sz w:val="24"/>
          <w:szCs w:val="24"/>
          <w:vertAlign w:val="superscript"/>
          <w:lang w:val="en-CA"/>
        </w:rPr>
        <w:t>th</w:t>
      </w:r>
      <w:r w:rsidRPr="006C27BD">
        <w:rPr>
          <w:sz w:val="24"/>
          <w:szCs w:val="24"/>
          <w:lang w:val="en-CA"/>
        </w:rPr>
        <w:t>, 2024</w:t>
      </w:r>
    </w:p>
    <w:p w14:paraId="35EB8348" w14:textId="77777777" w:rsidR="006C27BD" w:rsidRPr="006C27BD" w:rsidRDefault="006C27BD" w:rsidP="006C27BD">
      <w:pPr>
        <w:spacing w:after="160" w:line="259" w:lineRule="auto"/>
        <w:rPr>
          <w:i/>
          <w:iCs/>
          <w:sz w:val="28"/>
          <w:szCs w:val="28"/>
          <w:lang w:val="en-CA"/>
        </w:rPr>
      </w:pPr>
      <w:r w:rsidRPr="006C27BD">
        <w:rPr>
          <w:i/>
          <w:iCs/>
          <w:sz w:val="28"/>
          <w:szCs w:val="28"/>
          <w:lang w:val="en-CA"/>
        </w:rPr>
        <w:t xml:space="preserve">Base vs Targeted Funding: </w:t>
      </w:r>
    </w:p>
    <w:p w14:paraId="27182352" w14:textId="77777777" w:rsidR="006C27BD" w:rsidRPr="006C27BD" w:rsidRDefault="006C27BD" w:rsidP="006C27BD">
      <w:pPr>
        <w:numPr>
          <w:ilvl w:val="0"/>
          <w:numId w:val="26"/>
        </w:numPr>
        <w:spacing w:after="160" w:line="259" w:lineRule="auto"/>
        <w:rPr>
          <w:sz w:val="24"/>
          <w:szCs w:val="24"/>
          <w:lang w:val="en-CA"/>
        </w:rPr>
      </w:pPr>
      <w:r w:rsidRPr="006C27BD">
        <w:rPr>
          <w:sz w:val="24"/>
          <w:szCs w:val="24"/>
          <w:lang w:val="en-CA"/>
        </w:rPr>
        <w:t xml:space="preserve">Research contains “indirect costs” (legal counsel, utilities for laboratories, administrative support for field work, etc) that are only partially covered by research grants. </w:t>
      </w:r>
    </w:p>
    <w:p w14:paraId="640FC32C" w14:textId="77777777" w:rsidR="006C27BD" w:rsidRPr="006C27BD" w:rsidRDefault="006C27BD" w:rsidP="006C27BD">
      <w:pPr>
        <w:numPr>
          <w:ilvl w:val="0"/>
          <w:numId w:val="26"/>
        </w:numPr>
        <w:spacing w:after="160" w:line="259" w:lineRule="auto"/>
        <w:rPr>
          <w:sz w:val="24"/>
          <w:szCs w:val="24"/>
          <w:lang w:val="en-CA"/>
        </w:rPr>
      </w:pPr>
      <w:r w:rsidRPr="006C27BD">
        <w:rPr>
          <w:sz w:val="24"/>
          <w:szCs w:val="24"/>
          <w:lang w:val="en-CA"/>
        </w:rPr>
        <w:t xml:space="preserve">Targeted funding, especially if it’s targeted enrollment funding, can miss the administrative support elements necessary for successful research. </w:t>
      </w:r>
    </w:p>
    <w:p w14:paraId="4BBF6CA4" w14:textId="77777777" w:rsidR="006C27BD" w:rsidRPr="006C27BD" w:rsidRDefault="006C27BD" w:rsidP="006C27BD">
      <w:pPr>
        <w:numPr>
          <w:ilvl w:val="0"/>
          <w:numId w:val="26"/>
        </w:numPr>
        <w:spacing w:after="160" w:line="259" w:lineRule="auto"/>
        <w:rPr>
          <w:sz w:val="24"/>
          <w:szCs w:val="24"/>
          <w:lang w:val="en-CA"/>
        </w:rPr>
      </w:pPr>
      <w:r w:rsidRPr="006C27BD">
        <w:rPr>
          <w:sz w:val="24"/>
          <w:szCs w:val="24"/>
          <w:lang w:val="en-CA"/>
        </w:rPr>
        <w:t xml:space="preserve">Targeted funding also restricts level of interdisciplinary/transdisciplinary research, as inequitably funded departments (especially if administrative costs are inequitably covered) will find it difficult to efficiently collaborate. </w:t>
      </w:r>
    </w:p>
    <w:p w14:paraId="09B79A83" w14:textId="77777777" w:rsidR="006C27BD" w:rsidRPr="006C27BD" w:rsidRDefault="006C27BD" w:rsidP="006C27BD">
      <w:pPr>
        <w:numPr>
          <w:ilvl w:val="0"/>
          <w:numId w:val="26"/>
        </w:numPr>
        <w:spacing w:after="160" w:line="259" w:lineRule="auto"/>
        <w:rPr>
          <w:sz w:val="24"/>
          <w:szCs w:val="24"/>
          <w:lang w:val="en-CA"/>
        </w:rPr>
      </w:pPr>
      <w:r w:rsidRPr="006C27BD">
        <w:rPr>
          <w:sz w:val="24"/>
          <w:szCs w:val="24"/>
          <w:lang w:val="en-CA"/>
        </w:rPr>
        <w:t xml:space="preserve">Targeted funding can also lead to economic stagnation if it becomes an overused policy tool: </w:t>
      </w:r>
    </w:p>
    <w:p w14:paraId="63AF3947" w14:textId="77777777" w:rsidR="006C27BD" w:rsidRPr="006C27BD" w:rsidRDefault="006C27BD" w:rsidP="006C27BD">
      <w:pPr>
        <w:numPr>
          <w:ilvl w:val="1"/>
          <w:numId w:val="26"/>
        </w:numPr>
        <w:spacing w:after="160" w:line="259" w:lineRule="auto"/>
        <w:rPr>
          <w:sz w:val="24"/>
          <w:szCs w:val="24"/>
          <w:lang w:val="en-CA"/>
        </w:rPr>
      </w:pPr>
      <w:r w:rsidRPr="006C27BD">
        <w:rPr>
          <w:sz w:val="24"/>
          <w:szCs w:val="24"/>
          <w:lang w:val="en-CA"/>
        </w:rPr>
        <w:t xml:space="preserve">Entrepreneurship is supposed to be disruptive, meaning that entrepreneurs are changing the labour market, not keeping the </w:t>
      </w:r>
      <w:proofErr w:type="gramStart"/>
      <w:r w:rsidRPr="006C27BD">
        <w:rPr>
          <w:sz w:val="24"/>
          <w:szCs w:val="24"/>
          <w:lang w:val="en-CA"/>
        </w:rPr>
        <w:t>status quo;</w:t>
      </w:r>
      <w:proofErr w:type="gramEnd"/>
      <w:r w:rsidRPr="006C27BD">
        <w:rPr>
          <w:sz w:val="24"/>
          <w:szCs w:val="24"/>
          <w:lang w:val="en-CA"/>
        </w:rPr>
        <w:t xml:space="preserve"> </w:t>
      </w:r>
    </w:p>
    <w:p w14:paraId="543540A5" w14:textId="77777777" w:rsidR="006C27BD" w:rsidRPr="006C27BD" w:rsidRDefault="006C27BD" w:rsidP="006C27BD">
      <w:pPr>
        <w:numPr>
          <w:ilvl w:val="1"/>
          <w:numId w:val="26"/>
        </w:numPr>
        <w:spacing w:after="160" w:line="259" w:lineRule="auto"/>
        <w:rPr>
          <w:sz w:val="24"/>
          <w:szCs w:val="24"/>
          <w:lang w:val="en-CA"/>
        </w:rPr>
      </w:pPr>
      <w:r w:rsidRPr="006C27BD">
        <w:rPr>
          <w:sz w:val="24"/>
          <w:szCs w:val="24"/>
          <w:lang w:val="en-CA"/>
        </w:rPr>
        <w:t>Base funding increases allow university departments to freely collaborate and produce research that’s entrepreneurial (adaptive and disruptive</w:t>
      </w:r>
      <w:proofErr w:type="gramStart"/>
      <w:r w:rsidRPr="006C27BD">
        <w:rPr>
          <w:sz w:val="24"/>
          <w:szCs w:val="24"/>
          <w:lang w:val="en-CA"/>
        </w:rPr>
        <w:t>);</w:t>
      </w:r>
      <w:proofErr w:type="gramEnd"/>
      <w:r w:rsidRPr="006C27BD">
        <w:rPr>
          <w:sz w:val="24"/>
          <w:szCs w:val="24"/>
          <w:lang w:val="en-CA"/>
        </w:rPr>
        <w:t xml:space="preserve"> </w:t>
      </w:r>
    </w:p>
    <w:p w14:paraId="19FDCA58" w14:textId="77777777" w:rsidR="006C27BD" w:rsidRPr="006C27BD" w:rsidRDefault="006C27BD" w:rsidP="006C27BD">
      <w:pPr>
        <w:numPr>
          <w:ilvl w:val="1"/>
          <w:numId w:val="26"/>
        </w:numPr>
        <w:spacing w:after="160" w:line="259" w:lineRule="auto"/>
        <w:rPr>
          <w:sz w:val="24"/>
          <w:szCs w:val="24"/>
          <w:lang w:val="en-CA"/>
        </w:rPr>
      </w:pPr>
      <w:r w:rsidRPr="006C27BD">
        <w:rPr>
          <w:sz w:val="24"/>
          <w:szCs w:val="24"/>
          <w:lang w:val="en-CA"/>
        </w:rPr>
        <w:t xml:space="preserve">Adaptive and disruptive economies are the only kind that compete in the open, global </w:t>
      </w:r>
      <w:proofErr w:type="gramStart"/>
      <w:r w:rsidRPr="006C27BD">
        <w:rPr>
          <w:sz w:val="24"/>
          <w:szCs w:val="24"/>
          <w:lang w:val="en-CA"/>
        </w:rPr>
        <w:t>marketplace;</w:t>
      </w:r>
      <w:proofErr w:type="gramEnd"/>
    </w:p>
    <w:p w14:paraId="384841A0" w14:textId="77777777" w:rsidR="006C27BD" w:rsidRPr="006C27BD" w:rsidRDefault="006C27BD" w:rsidP="006C27BD">
      <w:pPr>
        <w:numPr>
          <w:ilvl w:val="1"/>
          <w:numId w:val="26"/>
        </w:numPr>
        <w:spacing w:after="160" w:line="259" w:lineRule="auto"/>
        <w:rPr>
          <w:sz w:val="24"/>
          <w:szCs w:val="24"/>
          <w:lang w:val="en-CA"/>
        </w:rPr>
      </w:pPr>
      <w:r w:rsidRPr="006C27BD">
        <w:rPr>
          <w:sz w:val="24"/>
          <w:szCs w:val="24"/>
          <w:lang w:val="en-CA"/>
        </w:rPr>
        <w:t xml:space="preserve">Targeted funding is a bet by the government that today’s labour market needs will persist indefinitely, which is true for some fields (medicine) but not for the majority of </w:t>
      </w:r>
      <w:proofErr w:type="gramStart"/>
      <w:r w:rsidRPr="006C27BD">
        <w:rPr>
          <w:sz w:val="24"/>
          <w:szCs w:val="24"/>
          <w:lang w:val="en-CA"/>
        </w:rPr>
        <w:t>jobs;</w:t>
      </w:r>
      <w:proofErr w:type="gramEnd"/>
    </w:p>
    <w:p w14:paraId="470A5EAE" w14:textId="77777777" w:rsidR="006C27BD" w:rsidRPr="006C27BD" w:rsidRDefault="006C27BD" w:rsidP="006C27BD">
      <w:pPr>
        <w:numPr>
          <w:ilvl w:val="1"/>
          <w:numId w:val="26"/>
        </w:numPr>
        <w:spacing w:after="160" w:line="259" w:lineRule="auto"/>
        <w:rPr>
          <w:sz w:val="24"/>
          <w:szCs w:val="24"/>
          <w:lang w:val="en-CA"/>
        </w:rPr>
      </w:pPr>
      <w:r w:rsidRPr="006C27BD">
        <w:rPr>
          <w:sz w:val="24"/>
          <w:szCs w:val="24"/>
          <w:lang w:val="en-CA"/>
        </w:rPr>
        <w:t xml:space="preserve">Therefore, a post-secondary system that supports a globally competitive economy will prioritize base funding increases over targeted funding. </w:t>
      </w:r>
    </w:p>
    <w:p w14:paraId="70C1A843" w14:textId="77777777" w:rsidR="006C27BD" w:rsidRDefault="006C27BD" w:rsidP="006C27BD">
      <w:pPr>
        <w:spacing w:after="160" w:line="259" w:lineRule="auto"/>
        <w:rPr>
          <w:i/>
          <w:iCs/>
          <w:sz w:val="28"/>
          <w:szCs w:val="28"/>
          <w:lang w:val="en-CA"/>
        </w:rPr>
      </w:pPr>
    </w:p>
    <w:p w14:paraId="73DF24F4" w14:textId="57764F00" w:rsidR="006C27BD" w:rsidRPr="006C27BD" w:rsidRDefault="006C27BD" w:rsidP="006C27BD">
      <w:pPr>
        <w:spacing w:after="160" w:line="259" w:lineRule="auto"/>
        <w:rPr>
          <w:i/>
          <w:iCs/>
          <w:sz w:val="28"/>
          <w:szCs w:val="28"/>
          <w:lang w:val="en-CA"/>
        </w:rPr>
      </w:pPr>
      <w:r w:rsidRPr="006C27BD">
        <w:rPr>
          <w:i/>
          <w:iCs/>
          <w:sz w:val="28"/>
          <w:szCs w:val="28"/>
          <w:lang w:val="en-CA"/>
        </w:rPr>
        <w:t>Human Capital Studies:</w:t>
      </w:r>
    </w:p>
    <w:p w14:paraId="5299AC7C" w14:textId="77777777" w:rsidR="006C27BD" w:rsidRPr="006C27BD" w:rsidRDefault="006C27BD" w:rsidP="006C27BD">
      <w:pPr>
        <w:spacing w:after="160" w:line="259" w:lineRule="auto"/>
        <w:ind w:firstLine="720"/>
        <w:rPr>
          <w:sz w:val="24"/>
          <w:szCs w:val="24"/>
          <w:lang w:val="en-CA"/>
        </w:rPr>
      </w:pPr>
      <w:r w:rsidRPr="006C27BD">
        <w:rPr>
          <w:sz w:val="24"/>
          <w:szCs w:val="24"/>
          <w:lang w:val="en-CA"/>
        </w:rPr>
        <w:t xml:space="preserve">There’s growing evidence that labour markets are rewarding so-called “soft skills” or “higher order skills”—personality traits, motivations, critical thinking skills, and teamwork—at an increasing rate. </w:t>
      </w:r>
    </w:p>
    <w:p w14:paraId="6C7AF706" w14:textId="673EA51D" w:rsidR="006C27BD" w:rsidRPr="006C27BD" w:rsidRDefault="006C27BD" w:rsidP="006C27BD">
      <w:pPr>
        <w:spacing w:after="160" w:line="259" w:lineRule="auto"/>
        <w:rPr>
          <w:sz w:val="24"/>
          <w:szCs w:val="24"/>
          <w:lang w:val="en-CA"/>
        </w:rPr>
      </w:pPr>
      <w:r>
        <w:rPr>
          <w:sz w:val="24"/>
          <w:szCs w:val="24"/>
          <w:lang w:val="en-CA"/>
        </w:rPr>
        <w:tab/>
      </w:r>
      <w:r w:rsidRPr="006C27BD">
        <w:rPr>
          <w:sz w:val="24"/>
          <w:szCs w:val="24"/>
          <w:lang w:val="en-CA"/>
        </w:rPr>
        <w:t>A sampling of the academic literature:</w:t>
      </w:r>
    </w:p>
    <w:p w14:paraId="44638330" w14:textId="77777777" w:rsidR="006C27BD" w:rsidRPr="006C27BD" w:rsidRDefault="006C27BD" w:rsidP="006C27BD">
      <w:pPr>
        <w:numPr>
          <w:ilvl w:val="0"/>
          <w:numId w:val="27"/>
        </w:numPr>
        <w:spacing w:after="160" w:line="259" w:lineRule="auto"/>
        <w:rPr>
          <w:sz w:val="24"/>
          <w:szCs w:val="24"/>
          <w:lang w:val="en-CA"/>
        </w:rPr>
      </w:pPr>
      <w:r w:rsidRPr="006C27BD">
        <w:rPr>
          <w:sz w:val="24"/>
          <w:szCs w:val="24"/>
          <w:lang w:val="en-CA"/>
        </w:rPr>
        <w:t xml:space="preserve">Heckman, J.J and Kautz, T. 2012. “Hard Evidence on Soft Skills,” </w:t>
      </w:r>
      <w:r w:rsidRPr="006C27BD">
        <w:rPr>
          <w:i/>
          <w:iCs/>
          <w:sz w:val="24"/>
          <w:szCs w:val="24"/>
          <w:lang w:val="en-CA"/>
        </w:rPr>
        <w:t>Labour Economics</w:t>
      </w:r>
      <w:r w:rsidRPr="006C27BD">
        <w:rPr>
          <w:sz w:val="24"/>
          <w:szCs w:val="24"/>
          <w:lang w:val="en-CA"/>
        </w:rPr>
        <w:t xml:space="preserve"> 19(4): 451-464. </w:t>
      </w:r>
    </w:p>
    <w:p w14:paraId="38AC9264" w14:textId="77777777" w:rsidR="006C27BD" w:rsidRPr="006C27BD" w:rsidRDefault="006C27BD" w:rsidP="006C27BD">
      <w:pPr>
        <w:numPr>
          <w:ilvl w:val="1"/>
          <w:numId w:val="27"/>
        </w:numPr>
        <w:spacing w:after="160" w:line="259" w:lineRule="auto"/>
        <w:rPr>
          <w:sz w:val="24"/>
          <w:szCs w:val="24"/>
          <w:lang w:val="en-CA"/>
        </w:rPr>
      </w:pPr>
      <w:r w:rsidRPr="006C27BD">
        <w:rPr>
          <w:sz w:val="24"/>
          <w:szCs w:val="24"/>
          <w:lang w:val="en-CA"/>
        </w:rPr>
        <w:lastRenderedPageBreak/>
        <w:t xml:space="preserve">Soft skills predict life achievement to a greater extent than traditional “cognitive skills” like IQ, though the importance of cognitive ability increases with the complexity of tasks. </w:t>
      </w:r>
    </w:p>
    <w:p w14:paraId="4F78EAE2" w14:textId="77777777" w:rsidR="006C27BD" w:rsidRPr="006C27BD" w:rsidRDefault="006C27BD" w:rsidP="006C27BD">
      <w:pPr>
        <w:numPr>
          <w:ilvl w:val="1"/>
          <w:numId w:val="27"/>
        </w:numPr>
        <w:spacing w:after="160" w:line="259" w:lineRule="auto"/>
        <w:rPr>
          <w:sz w:val="24"/>
          <w:szCs w:val="24"/>
          <w:lang w:val="en-CA"/>
        </w:rPr>
      </w:pPr>
      <w:r w:rsidRPr="006C27BD">
        <w:rPr>
          <w:sz w:val="24"/>
          <w:szCs w:val="24"/>
          <w:lang w:val="en-CA"/>
        </w:rPr>
        <w:t xml:space="preserve">Authors focus on benefits of early childhood interventions for building soft skills, but implication is that individuals who are better cooperators, more intrinsically motivated, and are more curious have higher lifetime earnings. </w:t>
      </w:r>
    </w:p>
    <w:p w14:paraId="6CD7B0CC" w14:textId="77777777" w:rsidR="006C27BD" w:rsidRPr="006C27BD" w:rsidRDefault="006C27BD" w:rsidP="006C27BD">
      <w:pPr>
        <w:numPr>
          <w:ilvl w:val="0"/>
          <w:numId w:val="27"/>
        </w:numPr>
        <w:spacing w:after="160" w:line="259" w:lineRule="auto"/>
        <w:rPr>
          <w:sz w:val="24"/>
          <w:szCs w:val="24"/>
          <w:lang w:val="en-CA"/>
        </w:rPr>
      </w:pPr>
      <w:r w:rsidRPr="006C27BD">
        <w:rPr>
          <w:sz w:val="24"/>
          <w:szCs w:val="24"/>
          <w:lang w:val="en-CA"/>
        </w:rPr>
        <w:t xml:space="preserve">Denning, D.J. 2022. “Four Facts about Human Capital,” </w:t>
      </w:r>
      <w:r w:rsidRPr="006C27BD">
        <w:rPr>
          <w:i/>
          <w:iCs/>
          <w:sz w:val="24"/>
          <w:szCs w:val="24"/>
          <w:lang w:val="en-CA"/>
        </w:rPr>
        <w:t>Journal of Economic Perspectives</w:t>
      </w:r>
      <w:r w:rsidRPr="006C27BD">
        <w:rPr>
          <w:sz w:val="24"/>
          <w:szCs w:val="24"/>
          <w:lang w:val="en-CA"/>
        </w:rPr>
        <w:t xml:space="preserve"> 36(3): 75-102. </w:t>
      </w:r>
    </w:p>
    <w:p w14:paraId="29A67401" w14:textId="77777777" w:rsidR="006C27BD" w:rsidRPr="006C27BD" w:rsidRDefault="006C27BD" w:rsidP="006C27BD">
      <w:pPr>
        <w:numPr>
          <w:ilvl w:val="1"/>
          <w:numId w:val="27"/>
        </w:numPr>
        <w:spacing w:after="160" w:line="259" w:lineRule="auto"/>
        <w:rPr>
          <w:b/>
          <w:bCs/>
          <w:sz w:val="24"/>
          <w:szCs w:val="24"/>
          <w:lang w:val="en-CA"/>
        </w:rPr>
      </w:pPr>
      <w:r w:rsidRPr="006C27BD">
        <w:rPr>
          <w:b/>
          <w:bCs/>
          <w:sz w:val="24"/>
          <w:szCs w:val="24"/>
          <w:lang w:val="en-CA"/>
        </w:rPr>
        <w:t>“Fact #4: Higher-Order Skills Such as Problem-solving and Teamwork Are Increasingly Economically Valuable, and the Technology for Producing Them Is Not Well Understood.”</w:t>
      </w:r>
    </w:p>
    <w:p w14:paraId="71BD016F" w14:textId="77777777" w:rsidR="006C27BD" w:rsidRPr="006C27BD" w:rsidRDefault="006C27BD" w:rsidP="006C27BD">
      <w:pPr>
        <w:numPr>
          <w:ilvl w:val="1"/>
          <w:numId w:val="27"/>
        </w:numPr>
        <w:spacing w:after="160" w:line="259" w:lineRule="auto"/>
        <w:rPr>
          <w:b/>
          <w:bCs/>
          <w:sz w:val="24"/>
          <w:szCs w:val="24"/>
          <w:lang w:val="en-CA"/>
        </w:rPr>
      </w:pPr>
      <w:r w:rsidRPr="006C27BD">
        <w:rPr>
          <w:sz w:val="24"/>
          <w:szCs w:val="24"/>
          <w:lang w:val="en-CA"/>
        </w:rPr>
        <w:t xml:space="preserve">“Higher order skills” involve applying existing knowledge to new situations, evaluating multiple sources of evidence, and collaborating with others in turning knowledge into concrete action. “Lower order” cognitive skills involve memory and recall. </w:t>
      </w:r>
    </w:p>
    <w:p w14:paraId="7AECEC91" w14:textId="77777777" w:rsidR="006C27BD" w:rsidRPr="006C27BD" w:rsidRDefault="006C27BD" w:rsidP="006C27BD">
      <w:pPr>
        <w:numPr>
          <w:ilvl w:val="1"/>
          <w:numId w:val="27"/>
        </w:numPr>
        <w:spacing w:after="160" w:line="259" w:lineRule="auto"/>
        <w:rPr>
          <w:b/>
          <w:bCs/>
          <w:sz w:val="24"/>
          <w:szCs w:val="24"/>
          <w:lang w:val="en-CA"/>
        </w:rPr>
      </w:pPr>
      <w:r w:rsidRPr="006C27BD">
        <w:rPr>
          <w:i/>
          <w:iCs/>
          <w:sz w:val="24"/>
          <w:szCs w:val="24"/>
          <w:lang w:val="en-CA"/>
        </w:rPr>
        <w:t>Lists experimental studies that directly tie social and teamwork skills to higher productivity levels</w:t>
      </w:r>
      <w:r w:rsidRPr="006C27BD">
        <w:rPr>
          <w:sz w:val="24"/>
          <w:szCs w:val="24"/>
          <w:lang w:val="en-CA"/>
        </w:rPr>
        <w:t xml:space="preserve">. </w:t>
      </w:r>
    </w:p>
    <w:p w14:paraId="6E3C7095" w14:textId="77777777" w:rsidR="006C27BD" w:rsidRPr="006C27BD" w:rsidRDefault="006C27BD" w:rsidP="006C27BD">
      <w:pPr>
        <w:numPr>
          <w:ilvl w:val="1"/>
          <w:numId w:val="27"/>
        </w:numPr>
        <w:spacing w:after="160" w:line="259" w:lineRule="auto"/>
        <w:rPr>
          <w:b/>
          <w:bCs/>
          <w:sz w:val="24"/>
          <w:szCs w:val="24"/>
          <w:lang w:val="en-CA"/>
        </w:rPr>
      </w:pPr>
      <w:r w:rsidRPr="006C27BD">
        <w:rPr>
          <w:sz w:val="24"/>
          <w:szCs w:val="24"/>
          <w:lang w:val="en-CA"/>
        </w:rPr>
        <w:t xml:space="preserve">On-the-job experience in areas like communication and time management, as well as social skill training sessions for entrepreneurs, also show increasing productivity levels. One interpretation (not explicitly laid out in the paper) is that there’s some suggestive evidence that adults can still learn and improve these skills. </w:t>
      </w:r>
    </w:p>
    <w:p w14:paraId="1FB7F25A" w14:textId="77777777" w:rsidR="006C27BD" w:rsidRPr="006C27BD" w:rsidRDefault="006C27BD" w:rsidP="006C27BD">
      <w:pPr>
        <w:numPr>
          <w:ilvl w:val="1"/>
          <w:numId w:val="27"/>
        </w:numPr>
        <w:spacing w:after="160" w:line="259" w:lineRule="auto"/>
        <w:rPr>
          <w:b/>
          <w:bCs/>
          <w:sz w:val="24"/>
          <w:szCs w:val="24"/>
          <w:lang w:val="en-CA"/>
        </w:rPr>
      </w:pPr>
      <w:r w:rsidRPr="006C27BD">
        <w:rPr>
          <w:sz w:val="24"/>
          <w:szCs w:val="24"/>
          <w:lang w:val="en-CA"/>
        </w:rPr>
        <w:t xml:space="preserve">Good economic decision-making requires counterfactual thinking (i.e., the consideration of alternatives). </w:t>
      </w:r>
    </w:p>
    <w:p w14:paraId="6ED921A9" w14:textId="77777777" w:rsidR="006C27BD" w:rsidRPr="006C27BD" w:rsidRDefault="006C27BD" w:rsidP="006C27BD">
      <w:pPr>
        <w:numPr>
          <w:ilvl w:val="1"/>
          <w:numId w:val="27"/>
        </w:numPr>
        <w:spacing w:after="160" w:line="259" w:lineRule="auto"/>
        <w:rPr>
          <w:b/>
          <w:bCs/>
          <w:sz w:val="24"/>
          <w:szCs w:val="24"/>
          <w:lang w:val="en-CA"/>
        </w:rPr>
      </w:pPr>
      <w:r w:rsidRPr="006C27BD">
        <w:rPr>
          <w:sz w:val="24"/>
          <w:szCs w:val="24"/>
          <w:lang w:val="en-CA"/>
        </w:rPr>
        <w:t xml:space="preserve">Cognitive empathy predicts strategic sophistication, allowing participants to solve complex problems quicker (ex: reaching Nash Equilibrium in a game theoretic environment more quickly). </w:t>
      </w:r>
    </w:p>
    <w:p w14:paraId="1AED4EBA" w14:textId="77777777" w:rsidR="006C27BD" w:rsidRPr="006C27BD" w:rsidRDefault="006C27BD" w:rsidP="006C27BD">
      <w:pPr>
        <w:numPr>
          <w:ilvl w:val="0"/>
          <w:numId w:val="27"/>
        </w:numPr>
        <w:spacing w:after="160" w:line="259" w:lineRule="auto"/>
        <w:rPr>
          <w:b/>
          <w:bCs/>
          <w:sz w:val="24"/>
          <w:szCs w:val="24"/>
          <w:lang w:val="en-CA"/>
        </w:rPr>
      </w:pPr>
      <w:r w:rsidRPr="006C27BD">
        <w:rPr>
          <w:sz w:val="24"/>
          <w:szCs w:val="24"/>
          <w:lang w:val="en-CA"/>
        </w:rPr>
        <w:t xml:space="preserve">Deming, D.J. and Silliman, M.I. 2024. “Skills and Human Capital in the Labour Market,” </w:t>
      </w:r>
      <w:r w:rsidRPr="006C27BD">
        <w:rPr>
          <w:i/>
          <w:iCs/>
          <w:sz w:val="24"/>
          <w:szCs w:val="24"/>
          <w:lang w:val="en-CA"/>
        </w:rPr>
        <w:t xml:space="preserve">NBER Working Paper </w:t>
      </w:r>
      <w:r w:rsidRPr="006C27BD">
        <w:rPr>
          <w:sz w:val="24"/>
          <w:szCs w:val="24"/>
          <w:lang w:val="en-CA"/>
        </w:rPr>
        <w:t>(pre-print).</w:t>
      </w:r>
    </w:p>
    <w:p w14:paraId="1CF1F2A4" w14:textId="77777777" w:rsidR="006C27BD" w:rsidRPr="006C27BD" w:rsidRDefault="006C27BD" w:rsidP="006C27BD">
      <w:pPr>
        <w:numPr>
          <w:ilvl w:val="1"/>
          <w:numId w:val="27"/>
        </w:numPr>
        <w:spacing w:after="160" w:line="259" w:lineRule="auto"/>
        <w:rPr>
          <w:b/>
          <w:bCs/>
          <w:sz w:val="24"/>
          <w:szCs w:val="24"/>
          <w:lang w:val="en-CA"/>
        </w:rPr>
      </w:pPr>
      <w:r w:rsidRPr="006C27BD">
        <w:rPr>
          <w:sz w:val="24"/>
          <w:szCs w:val="24"/>
          <w:lang w:val="en-CA"/>
        </w:rPr>
        <w:t xml:space="preserve">Builds a multi-dimensional model of human capital formation that </w:t>
      </w:r>
      <w:proofErr w:type="gramStart"/>
      <w:r w:rsidRPr="006C27BD">
        <w:rPr>
          <w:sz w:val="24"/>
          <w:szCs w:val="24"/>
          <w:lang w:val="en-CA"/>
        </w:rPr>
        <w:t>takes into account</w:t>
      </w:r>
      <w:proofErr w:type="gramEnd"/>
      <w:r w:rsidRPr="006C27BD">
        <w:rPr>
          <w:sz w:val="24"/>
          <w:szCs w:val="24"/>
          <w:lang w:val="en-CA"/>
        </w:rPr>
        <w:t xml:space="preserve"> the importance of “non-cognitive” skills and their development over a person’s educational lifecycle. </w:t>
      </w:r>
    </w:p>
    <w:p w14:paraId="08F6327B" w14:textId="77777777" w:rsidR="006C27BD" w:rsidRPr="006C27BD" w:rsidRDefault="006C27BD" w:rsidP="006C27BD">
      <w:pPr>
        <w:numPr>
          <w:ilvl w:val="1"/>
          <w:numId w:val="27"/>
        </w:numPr>
        <w:spacing w:after="160" w:line="259" w:lineRule="auto"/>
        <w:rPr>
          <w:b/>
          <w:bCs/>
          <w:sz w:val="24"/>
          <w:szCs w:val="24"/>
          <w:lang w:val="en-CA"/>
        </w:rPr>
      </w:pPr>
      <w:r w:rsidRPr="006C27BD">
        <w:rPr>
          <w:sz w:val="24"/>
          <w:szCs w:val="24"/>
          <w:lang w:val="en-CA"/>
        </w:rPr>
        <w:t xml:space="preserve">Model helps distinguish wages and productivity of workers who </w:t>
      </w:r>
      <w:proofErr w:type="gramStart"/>
      <w:r w:rsidRPr="006C27BD">
        <w:rPr>
          <w:sz w:val="24"/>
          <w:szCs w:val="24"/>
          <w:lang w:val="en-CA"/>
        </w:rPr>
        <w:t>are able to</w:t>
      </w:r>
      <w:proofErr w:type="gramEnd"/>
      <w:r w:rsidRPr="006C27BD">
        <w:rPr>
          <w:sz w:val="24"/>
          <w:szCs w:val="24"/>
          <w:lang w:val="en-CA"/>
        </w:rPr>
        <w:t xml:space="preserve"> better make collaborative decisions with those who can’t. </w:t>
      </w:r>
    </w:p>
    <w:p w14:paraId="67FB554C" w14:textId="77777777" w:rsidR="006C27BD" w:rsidRPr="006C27BD" w:rsidRDefault="006C27BD" w:rsidP="006C27BD">
      <w:pPr>
        <w:numPr>
          <w:ilvl w:val="1"/>
          <w:numId w:val="27"/>
        </w:numPr>
        <w:spacing w:after="160" w:line="259" w:lineRule="auto"/>
        <w:rPr>
          <w:b/>
          <w:bCs/>
          <w:sz w:val="24"/>
          <w:szCs w:val="24"/>
          <w:lang w:val="en-CA"/>
        </w:rPr>
      </w:pPr>
      <w:r w:rsidRPr="006C27BD">
        <w:rPr>
          <w:sz w:val="24"/>
          <w:szCs w:val="24"/>
          <w:lang w:val="en-CA"/>
        </w:rPr>
        <w:lastRenderedPageBreak/>
        <w:t xml:space="preserve">Model helps explain why teamwork, social skills, and good “economic decision-making” all predict higher lifetime earnings. </w:t>
      </w:r>
    </w:p>
    <w:p w14:paraId="300442CA" w14:textId="77777777" w:rsidR="006C27BD" w:rsidRPr="006C27BD" w:rsidRDefault="006C27BD" w:rsidP="006C27BD">
      <w:pPr>
        <w:spacing w:after="160" w:line="259" w:lineRule="auto"/>
        <w:ind w:firstLine="720"/>
        <w:rPr>
          <w:sz w:val="24"/>
          <w:szCs w:val="24"/>
          <w:lang w:val="en-CA"/>
        </w:rPr>
      </w:pPr>
      <w:r w:rsidRPr="006C27BD">
        <w:rPr>
          <w:sz w:val="24"/>
          <w:szCs w:val="24"/>
          <w:lang w:val="en-CA"/>
        </w:rPr>
        <w:t xml:space="preserve">The main implication of these studies is that degree streams which rely heaviest on “soft” or “higher order” skills will start seeing increasing lifetime returns, and one of the most consistent mechanisms explaining these increasing returns is the connection between soft/higher order skills and productivity. These degree streams may teach in unconventional ways (ex: reading from works of fiction) and may not produce physical technology in the way engineering program might. However, the skills these students acquire create productivity gains and, thus, increase the economic returns for themselves and their firms, community, or local economy. </w:t>
      </w:r>
    </w:p>
    <w:p w14:paraId="2E8314BA" w14:textId="77777777" w:rsidR="006C27BD" w:rsidRPr="006C27BD" w:rsidRDefault="006C27BD" w:rsidP="006C27BD">
      <w:pPr>
        <w:spacing w:after="160" w:line="259" w:lineRule="auto"/>
        <w:ind w:firstLine="720"/>
        <w:rPr>
          <w:sz w:val="24"/>
          <w:szCs w:val="24"/>
          <w:lang w:val="en-CA"/>
        </w:rPr>
      </w:pPr>
      <w:r w:rsidRPr="006C27BD">
        <w:rPr>
          <w:sz w:val="24"/>
          <w:szCs w:val="24"/>
          <w:lang w:val="en-CA"/>
        </w:rPr>
        <w:t xml:space="preserve">The return to lower-order cognitive skills might </w:t>
      </w:r>
      <w:proofErr w:type="gramStart"/>
      <w:r w:rsidRPr="006C27BD">
        <w:rPr>
          <w:sz w:val="24"/>
          <w:szCs w:val="24"/>
          <w:lang w:val="en-CA"/>
        </w:rPr>
        <w:t>actually be</w:t>
      </w:r>
      <w:proofErr w:type="gramEnd"/>
      <w:r w:rsidRPr="006C27BD">
        <w:rPr>
          <w:sz w:val="24"/>
          <w:szCs w:val="24"/>
          <w:lang w:val="en-CA"/>
        </w:rPr>
        <w:t xml:space="preserve"> </w:t>
      </w:r>
      <w:r w:rsidRPr="006C27BD">
        <w:rPr>
          <w:i/>
          <w:iCs/>
          <w:sz w:val="24"/>
          <w:szCs w:val="24"/>
          <w:lang w:val="en-CA"/>
        </w:rPr>
        <w:t>declining</w:t>
      </w:r>
      <w:r w:rsidRPr="006C27BD">
        <w:rPr>
          <w:sz w:val="24"/>
          <w:szCs w:val="24"/>
          <w:lang w:val="en-CA"/>
        </w:rPr>
        <w:t xml:space="preserve"> due to the rapid progress of artificial intelligence (A.I.), which has automated many tasks that predominantly rely on memory and recall. Meanwhile, generative A.I. programs like Chat-GPT seems to act more as a </w:t>
      </w:r>
      <w:r w:rsidRPr="006C27BD">
        <w:rPr>
          <w:i/>
          <w:iCs/>
          <w:sz w:val="24"/>
          <w:szCs w:val="24"/>
          <w:lang w:val="en-CA"/>
        </w:rPr>
        <w:t xml:space="preserve">compliment </w:t>
      </w:r>
      <w:r w:rsidRPr="006C27BD">
        <w:rPr>
          <w:sz w:val="24"/>
          <w:szCs w:val="24"/>
          <w:lang w:val="en-CA"/>
        </w:rPr>
        <w:t>to human soft skills rather than a substitute. Thus, enhancing the level of soft skills will likely allow us to make increasing productivity gains by partnering with A.I.</w:t>
      </w:r>
    </w:p>
    <w:p w14:paraId="75BEF923" w14:textId="77777777" w:rsidR="006C27BD" w:rsidRPr="006C27BD" w:rsidRDefault="006C27BD" w:rsidP="006C27BD">
      <w:pPr>
        <w:spacing w:after="160" w:line="259" w:lineRule="auto"/>
        <w:ind w:firstLine="720"/>
        <w:rPr>
          <w:sz w:val="24"/>
          <w:szCs w:val="24"/>
          <w:lang w:val="en-CA"/>
        </w:rPr>
      </w:pPr>
      <w:r w:rsidRPr="006C27BD">
        <w:rPr>
          <w:sz w:val="24"/>
          <w:szCs w:val="24"/>
          <w:lang w:val="en-CA"/>
        </w:rPr>
        <w:t xml:space="preserve">If a government wants to grow the economy, it will want a post-secondary system that supports these degree streams. Importantly, it won’t defund or delegitimize degree streams that engage in counterfactual reasoning or learn through measures that enhance cognitive empathy, such as reading works of fiction. We believe that the more </w:t>
      </w:r>
      <w:proofErr w:type="gramStart"/>
      <w:r w:rsidRPr="006C27BD">
        <w:rPr>
          <w:sz w:val="24"/>
          <w:szCs w:val="24"/>
          <w:lang w:val="en-CA"/>
        </w:rPr>
        <w:t>theoretically-oriented</w:t>
      </w:r>
      <w:proofErr w:type="gramEnd"/>
      <w:r w:rsidRPr="006C27BD">
        <w:rPr>
          <w:sz w:val="24"/>
          <w:szCs w:val="24"/>
          <w:lang w:val="en-CA"/>
        </w:rPr>
        <w:t xml:space="preserve"> natural sciences, social sciences, and humanities all fit the description of degree streams that prioritize soft or higher order skill sets. As such, Alberta’s post-secondary system should celebrate the education that students in these degrees, and recognize that in the age of A.I., these skills are only going to get more important. </w:t>
      </w:r>
    </w:p>
    <w:p w14:paraId="76BC9EDB" w14:textId="77777777" w:rsidR="006C27BD" w:rsidRDefault="006C27BD" w:rsidP="006C27BD">
      <w:pPr>
        <w:spacing w:after="160" w:line="259" w:lineRule="auto"/>
        <w:rPr>
          <w:i/>
          <w:iCs/>
          <w:sz w:val="28"/>
          <w:szCs w:val="28"/>
          <w:lang w:val="en-CA"/>
        </w:rPr>
      </w:pPr>
    </w:p>
    <w:p w14:paraId="3A689E30" w14:textId="5F5C65DC" w:rsidR="006C27BD" w:rsidRPr="006C27BD" w:rsidRDefault="006C27BD" w:rsidP="006C27BD">
      <w:pPr>
        <w:spacing w:after="160" w:line="259" w:lineRule="auto"/>
        <w:rPr>
          <w:i/>
          <w:iCs/>
          <w:sz w:val="28"/>
          <w:szCs w:val="28"/>
          <w:lang w:val="en-CA"/>
        </w:rPr>
      </w:pPr>
      <w:r w:rsidRPr="006C27BD">
        <w:rPr>
          <w:i/>
          <w:iCs/>
          <w:sz w:val="28"/>
          <w:szCs w:val="28"/>
          <w:lang w:val="en-CA"/>
        </w:rPr>
        <w:t>Approximate Contribution of Students to Canadian Productivity</w:t>
      </w:r>
    </w:p>
    <w:p w14:paraId="5A89759F" w14:textId="77777777" w:rsidR="006C27BD" w:rsidRPr="006C27BD" w:rsidRDefault="006C27BD" w:rsidP="006C27BD">
      <w:pPr>
        <w:spacing w:after="160" w:line="259" w:lineRule="auto"/>
        <w:rPr>
          <w:sz w:val="24"/>
          <w:szCs w:val="24"/>
          <w:lang w:val="en-CA"/>
        </w:rPr>
      </w:pPr>
      <w:r w:rsidRPr="006C27BD">
        <w:rPr>
          <w:sz w:val="24"/>
          <w:szCs w:val="24"/>
          <w:lang w:val="en-CA"/>
        </w:rPr>
        <w:t xml:space="preserve">The following is a back-of-the-envelope calculation based on the following article: </w:t>
      </w:r>
    </w:p>
    <w:p w14:paraId="66723AF6" w14:textId="77777777" w:rsidR="006C27BD" w:rsidRPr="006C27BD" w:rsidRDefault="006C27BD" w:rsidP="006C27BD">
      <w:pPr>
        <w:numPr>
          <w:ilvl w:val="0"/>
          <w:numId w:val="28"/>
        </w:numPr>
        <w:spacing w:after="160" w:line="259" w:lineRule="auto"/>
        <w:rPr>
          <w:sz w:val="24"/>
          <w:szCs w:val="24"/>
          <w:lang w:val="en-CA"/>
        </w:rPr>
      </w:pPr>
      <w:r w:rsidRPr="006C27BD">
        <w:rPr>
          <w:sz w:val="24"/>
          <w:szCs w:val="24"/>
          <w:lang w:val="en-CA"/>
        </w:rPr>
        <w:t xml:space="preserve">Martin, F. 1998. “The Economic Impact of Canadian University R&amp;D,” </w:t>
      </w:r>
      <w:r w:rsidRPr="006C27BD">
        <w:rPr>
          <w:i/>
          <w:iCs/>
          <w:sz w:val="24"/>
          <w:szCs w:val="24"/>
          <w:lang w:val="en-CA"/>
        </w:rPr>
        <w:t xml:space="preserve">Research Policy </w:t>
      </w:r>
      <w:r w:rsidRPr="006C27BD">
        <w:rPr>
          <w:sz w:val="24"/>
          <w:szCs w:val="24"/>
          <w:lang w:val="en-CA"/>
        </w:rPr>
        <w:t xml:space="preserve">27(1) 677-687. </w:t>
      </w:r>
    </w:p>
    <w:p w14:paraId="474CE647" w14:textId="77777777" w:rsidR="006C27BD" w:rsidRPr="006C27BD" w:rsidRDefault="006C27BD" w:rsidP="006C27BD">
      <w:pPr>
        <w:spacing w:after="160" w:line="259" w:lineRule="auto"/>
        <w:rPr>
          <w:i/>
          <w:iCs/>
          <w:sz w:val="24"/>
          <w:szCs w:val="24"/>
          <w:lang w:val="en-CA"/>
        </w:rPr>
      </w:pPr>
      <w:r w:rsidRPr="006C27BD">
        <w:rPr>
          <w:i/>
          <w:iCs/>
          <w:sz w:val="24"/>
          <w:szCs w:val="24"/>
          <w:lang w:val="en-CA"/>
        </w:rPr>
        <w:t>Dynamic economic impact of university R&amp;D = Total Factor Productivity (TFP) increases resulting from R&amp;D spending</w:t>
      </w:r>
    </w:p>
    <w:p w14:paraId="6C2B15BF" w14:textId="77777777" w:rsidR="006C27BD" w:rsidRPr="006C27BD" w:rsidRDefault="006C27BD" w:rsidP="006C27BD">
      <w:pPr>
        <w:spacing w:after="160" w:line="259" w:lineRule="auto"/>
        <w:rPr>
          <w:i/>
          <w:iCs/>
          <w:sz w:val="24"/>
          <w:szCs w:val="24"/>
          <w:lang w:val="en-CA"/>
        </w:rPr>
      </w:pPr>
      <w:r w:rsidRPr="006C27BD">
        <w:rPr>
          <w:i/>
          <w:iCs/>
          <w:sz w:val="24"/>
          <w:szCs w:val="24"/>
          <w:lang w:val="en-CA"/>
        </w:rPr>
        <w:t>Student contribution to dynamic impact = increases to TFP resulting from human capital accumulation</w:t>
      </w:r>
    </w:p>
    <w:p w14:paraId="4BEE2610" w14:textId="77777777" w:rsidR="006C27BD" w:rsidRPr="006C27BD" w:rsidRDefault="006C27BD" w:rsidP="006C27BD">
      <w:pPr>
        <w:spacing w:after="160" w:line="259" w:lineRule="auto"/>
        <w:rPr>
          <w:i/>
          <w:iCs/>
          <w:sz w:val="24"/>
          <w:szCs w:val="24"/>
          <w:lang w:val="en-CA"/>
        </w:rPr>
      </w:pPr>
      <w:r w:rsidRPr="006C27BD">
        <w:rPr>
          <w:i/>
          <w:iCs/>
          <w:sz w:val="24"/>
          <w:szCs w:val="24"/>
          <w:lang w:val="en-CA"/>
        </w:rPr>
        <w:t>Total graduate student contribution (plus spending from student tuition and fees):</w:t>
      </w:r>
    </w:p>
    <w:p w14:paraId="0A372063" w14:textId="77777777" w:rsidR="006C27BD" w:rsidRPr="006C27BD" w:rsidRDefault="006C27BD" w:rsidP="006C27BD">
      <w:pPr>
        <w:numPr>
          <w:ilvl w:val="0"/>
          <w:numId w:val="28"/>
        </w:numPr>
        <w:spacing w:after="160" w:line="259" w:lineRule="auto"/>
        <w:rPr>
          <w:i/>
          <w:iCs/>
          <w:sz w:val="24"/>
          <w:szCs w:val="24"/>
          <w:lang w:val="en-CA"/>
        </w:rPr>
      </w:pPr>
      <w:r w:rsidRPr="006C27BD">
        <w:rPr>
          <w:b/>
          <w:bCs/>
          <w:sz w:val="24"/>
          <w:szCs w:val="24"/>
          <w:lang w:val="en-CA"/>
        </w:rPr>
        <w:t>$6,254,812,500</w:t>
      </w:r>
    </w:p>
    <w:p w14:paraId="7FE23101" w14:textId="77777777" w:rsidR="006C27BD" w:rsidRPr="006C27BD" w:rsidRDefault="006C27BD" w:rsidP="006C27BD">
      <w:pPr>
        <w:spacing w:after="160" w:line="259" w:lineRule="auto"/>
        <w:rPr>
          <w:i/>
          <w:iCs/>
          <w:sz w:val="24"/>
          <w:szCs w:val="24"/>
          <w:lang w:val="en-CA"/>
        </w:rPr>
      </w:pPr>
      <w:r w:rsidRPr="006C27BD">
        <w:rPr>
          <w:i/>
          <w:iCs/>
          <w:sz w:val="24"/>
          <w:szCs w:val="24"/>
          <w:lang w:val="en-CA"/>
        </w:rPr>
        <w:t>Total undergraduate student contribution (plus spending from student tuition and fees):</w:t>
      </w:r>
    </w:p>
    <w:p w14:paraId="237EF8AA" w14:textId="77777777" w:rsidR="006C27BD" w:rsidRPr="006C27BD" w:rsidRDefault="006C27BD" w:rsidP="006C27BD">
      <w:pPr>
        <w:numPr>
          <w:ilvl w:val="0"/>
          <w:numId w:val="28"/>
        </w:numPr>
        <w:spacing w:after="160" w:line="259" w:lineRule="auto"/>
        <w:rPr>
          <w:sz w:val="24"/>
          <w:szCs w:val="24"/>
          <w:lang w:val="en-CA"/>
        </w:rPr>
      </w:pPr>
      <w:r w:rsidRPr="006C27BD">
        <w:rPr>
          <w:b/>
          <w:bCs/>
          <w:sz w:val="24"/>
          <w:szCs w:val="24"/>
          <w:lang w:val="en-CA"/>
        </w:rPr>
        <w:lastRenderedPageBreak/>
        <w:t>$4,955,546,875</w:t>
      </w:r>
    </w:p>
    <w:p w14:paraId="59164AA1" w14:textId="77777777" w:rsidR="006C27BD" w:rsidRPr="006C27BD" w:rsidRDefault="006C27BD" w:rsidP="006C27BD">
      <w:pPr>
        <w:spacing w:after="160" w:line="259" w:lineRule="auto"/>
        <w:rPr>
          <w:i/>
          <w:iCs/>
          <w:sz w:val="24"/>
          <w:szCs w:val="24"/>
          <w:lang w:val="en-CA"/>
        </w:rPr>
      </w:pPr>
      <w:r w:rsidRPr="006C27BD">
        <w:rPr>
          <w:i/>
          <w:iCs/>
          <w:sz w:val="24"/>
          <w:szCs w:val="24"/>
          <w:lang w:val="en-CA"/>
        </w:rPr>
        <w:t>Total aggregate student contribution:</w:t>
      </w:r>
    </w:p>
    <w:p w14:paraId="4739D728" w14:textId="77777777" w:rsidR="006C27BD" w:rsidRPr="006C27BD" w:rsidRDefault="006C27BD" w:rsidP="006C27BD">
      <w:pPr>
        <w:numPr>
          <w:ilvl w:val="0"/>
          <w:numId w:val="28"/>
        </w:numPr>
        <w:spacing w:after="160" w:line="259" w:lineRule="auto"/>
        <w:rPr>
          <w:sz w:val="24"/>
          <w:szCs w:val="24"/>
          <w:lang w:val="en-CA"/>
        </w:rPr>
      </w:pPr>
      <w:r w:rsidRPr="006C27BD">
        <w:rPr>
          <w:b/>
          <w:bCs/>
          <w:sz w:val="24"/>
          <w:szCs w:val="24"/>
          <w:lang w:val="en-CA"/>
        </w:rPr>
        <w:t>$11,210,359,375</w:t>
      </w:r>
    </w:p>
    <w:p w14:paraId="10FFFD1D" w14:textId="77777777" w:rsidR="006C27BD" w:rsidRPr="006C27BD" w:rsidRDefault="006C27BD" w:rsidP="006C27BD">
      <w:pPr>
        <w:spacing w:after="160" w:line="259" w:lineRule="auto"/>
        <w:rPr>
          <w:i/>
          <w:iCs/>
          <w:sz w:val="24"/>
          <w:szCs w:val="24"/>
          <w:lang w:val="en-CA"/>
        </w:rPr>
      </w:pPr>
      <w:r w:rsidRPr="006C27BD">
        <w:rPr>
          <w:i/>
          <w:iCs/>
          <w:sz w:val="24"/>
          <w:szCs w:val="24"/>
          <w:lang w:val="en-CA"/>
        </w:rPr>
        <w:t>Canadian GDP in 1997</w:t>
      </w:r>
      <w:r w:rsidRPr="006C27BD">
        <w:rPr>
          <w:i/>
          <w:iCs/>
          <w:sz w:val="24"/>
          <w:szCs w:val="24"/>
          <w:vertAlign w:val="superscript"/>
          <w:lang w:val="en-CA"/>
        </w:rPr>
        <w:footnoteReference w:id="1"/>
      </w:r>
      <w:r w:rsidRPr="006C27BD">
        <w:rPr>
          <w:i/>
          <w:iCs/>
          <w:sz w:val="24"/>
          <w:szCs w:val="24"/>
          <w:lang w:val="en-CA"/>
        </w:rPr>
        <w:t xml:space="preserve">: </w:t>
      </w:r>
    </w:p>
    <w:p w14:paraId="479E045F" w14:textId="77777777" w:rsidR="006C27BD" w:rsidRPr="006C27BD" w:rsidRDefault="006C27BD" w:rsidP="006C27BD">
      <w:pPr>
        <w:numPr>
          <w:ilvl w:val="0"/>
          <w:numId w:val="28"/>
        </w:numPr>
        <w:spacing w:after="160" w:line="259" w:lineRule="auto"/>
        <w:rPr>
          <w:sz w:val="24"/>
          <w:szCs w:val="24"/>
          <w:lang w:val="en-CA"/>
        </w:rPr>
      </w:pPr>
      <w:r w:rsidRPr="006C27BD">
        <w:rPr>
          <w:b/>
          <w:bCs/>
          <w:sz w:val="24"/>
          <w:szCs w:val="24"/>
          <w:lang w:val="en-CA"/>
        </w:rPr>
        <w:t>$655,990,000,000</w:t>
      </w:r>
    </w:p>
    <w:p w14:paraId="141A8B41" w14:textId="77777777" w:rsidR="006C27BD" w:rsidRPr="006C27BD" w:rsidRDefault="006C27BD" w:rsidP="006C27BD">
      <w:pPr>
        <w:spacing w:after="160" w:line="259" w:lineRule="auto"/>
        <w:rPr>
          <w:i/>
          <w:iCs/>
          <w:sz w:val="24"/>
          <w:szCs w:val="24"/>
          <w:lang w:val="en-CA"/>
        </w:rPr>
      </w:pPr>
      <w:r w:rsidRPr="006C27BD">
        <w:rPr>
          <w:i/>
          <w:iCs/>
          <w:sz w:val="24"/>
          <w:szCs w:val="24"/>
          <w:lang w:val="en-CA"/>
        </w:rPr>
        <w:t>Percentage of Canadian GDP from student TFP enhancements:</w:t>
      </w:r>
    </w:p>
    <w:p w14:paraId="595CEED0" w14:textId="77777777" w:rsidR="006C27BD" w:rsidRPr="006C27BD" w:rsidRDefault="006C27BD" w:rsidP="006C27BD">
      <w:pPr>
        <w:numPr>
          <w:ilvl w:val="0"/>
          <w:numId w:val="28"/>
        </w:numPr>
        <w:spacing w:after="160" w:line="259" w:lineRule="auto"/>
        <w:rPr>
          <w:sz w:val="24"/>
          <w:szCs w:val="24"/>
          <w:lang w:val="en-CA"/>
        </w:rPr>
      </w:pPr>
      <w:r w:rsidRPr="006C27BD">
        <w:rPr>
          <w:b/>
          <w:bCs/>
          <w:sz w:val="24"/>
          <w:szCs w:val="24"/>
          <w:lang w:val="en-CA"/>
        </w:rPr>
        <w:t>(11,210,359,374/655,990,000,000) x 100 = 1.71%</w:t>
      </w:r>
    </w:p>
    <w:p w14:paraId="5D429639" w14:textId="77777777" w:rsidR="006C27BD" w:rsidRPr="006C27BD" w:rsidRDefault="006C27BD" w:rsidP="006C27BD">
      <w:pPr>
        <w:spacing w:after="160" w:line="259" w:lineRule="auto"/>
        <w:rPr>
          <w:i/>
          <w:iCs/>
          <w:sz w:val="24"/>
          <w:szCs w:val="24"/>
          <w:lang w:val="en-CA"/>
        </w:rPr>
      </w:pPr>
      <w:r w:rsidRPr="006C27BD">
        <w:rPr>
          <w:i/>
          <w:iCs/>
          <w:sz w:val="24"/>
          <w:szCs w:val="24"/>
          <w:lang w:val="en-CA"/>
        </w:rPr>
        <w:t>Canadian GDP in 2023:</w:t>
      </w:r>
    </w:p>
    <w:p w14:paraId="5E8A01CA" w14:textId="77777777" w:rsidR="006C27BD" w:rsidRPr="006C27BD" w:rsidRDefault="006C27BD" w:rsidP="006C27BD">
      <w:pPr>
        <w:numPr>
          <w:ilvl w:val="0"/>
          <w:numId w:val="28"/>
        </w:numPr>
        <w:spacing w:after="160" w:line="259" w:lineRule="auto"/>
        <w:rPr>
          <w:i/>
          <w:iCs/>
          <w:sz w:val="24"/>
          <w:szCs w:val="24"/>
          <w:lang w:val="en-CA"/>
        </w:rPr>
      </w:pPr>
      <w:r w:rsidRPr="006C27BD">
        <w:rPr>
          <w:b/>
          <w:bCs/>
          <w:sz w:val="24"/>
          <w:szCs w:val="24"/>
          <w:lang w:val="en-CA"/>
        </w:rPr>
        <w:t>$2,140,000,000,000</w:t>
      </w:r>
    </w:p>
    <w:p w14:paraId="6F73909A" w14:textId="77777777" w:rsidR="006C27BD" w:rsidRPr="006C27BD" w:rsidRDefault="006C27BD" w:rsidP="006C27BD">
      <w:pPr>
        <w:spacing w:after="160" w:line="259" w:lineRule="auto"/>
        <w:rPr>
          <w:i/>
          <w:iCs/>
          <w:sz w:val="24"/>
          <w:szCs w:val="24"/>
          <w:lang w:val="en-CA"/>
        </w:rPr>
      </w:pPr>
      <w:r w:rsidRPr="006C27BD">
        <w:rPr>
          <w:i/>
          <w:iCs/>
          <w:sz w:val="24"/>
          <w:szCs w:val="24"/>
          <w:lang w:val="en-CA"/>
        </w:rPr>
        <w:t>Student Contribution to 2023 GDP if % holds constant:</w:t>
      </w:r>
    </w:p>
    <w:p w14:paraId="3F7F4534" w14:textId="77777777" w:rsidR="006C27BD" w:rsidRPr="006C27BD" w:rsidRDefault="006C27BD" w:rsidP="006C27BD">
      <w:pPr>
        <w:numPr>
          <w:ilvl w:val="0"/>
          <w:numId w:val="28"/>
        </w:numPr>
        <w:spacing w:after="160" w:line="259" w:lineRule="auto"/>
        <w:rPr>
          <w:sz w:val="24"/>
          <w:szCs w:val="24"/>
          <w:lang w:val="en-CA"/>
        </w:rPr>
      </w:pPr>
      <w:r w:rsidRPr="006C27BD">
        <w:rPr>
          <w:b/>
          <w:bCs/>
          <w:sz w:val="24"/>
          <w:szCs w:val="24"/>
          <w:lang w:val="en-CA"/>
        </w:rPr>
        <w:t>$36,594,000,000</w:t>
      </w:r>
    </w:p>
    <w:p w14:paraId="108EAD0B" w14:textId="066321D1" w:rsidR="006C27BD" w:rsidRPr="006C27BD" w:rsidRDefault="004C0E81" w:rsidP="004C0E81">
      <w:pPr>
        <w:spacing w:after="160" w:line="259" w:lineRule="auto"/>
        <w:rPr>
          <w:sz w:val="24"/>
          <w:szCs w:val="24"/>
          <w:lang w:val="en-CA"/>
        </w:rPr>
      </w:pPr>
      <w:r>
        <w:rPr>
          <w:sz w:val="24"/>
          <w:szCs w:val="24"/>
          <w:lang w:val="en-CA"/>
        </w:rPr>
        <w:tab/>
      </w:r>
      <w:r w:rsidR="006C27BD" w:rsidRPr="006C27BD">
        <w:rPr>
          <w:sz w:val="24"/>
          <w:szCs w:val="24"/>
          <w:lang w:val="en-CA"/>
        </w:rPr>
        <w:t xml:space="preserve">In other words, if approximately 1.7% of Canada’s GDP is attributable to productivity enhancements from the human capital of students, then in 2023 this would equal </w:t>
      </w:r>
      <w:r w:rsidR="006C27BD" w:rsidRPr="006C27BD">
        <w:rPr>
          <w:b/>
          <w:bCs/>
          <w:sz w:val="24"/>
          <w:szCs w:val="24"/>
          <w:lang w:val="en-CA"/>
        </w:rPr>
        <w:t>$36.6 billion</w:t>
      </w:r>
      <w:r w:rsidR="006C27BD" w:rsidRPr="006C27BD">
        <w:rPr>
          <w:sz w:val="24"/>
          <w:szCs w:val="24"/>
          <w:lang w:val="en-CA"/>
        </w:rPr>
        <w:t xml:space="preserve">. Note that this doesn’t include contributions to Canada’s GDP through day-to-day consumption. Note, too, that it’s entirely possible the percentage contribution from students has </w:t>
      </w:r>
      <w:r w:rsidR="006C27BD" w:rsidRPr="006C27BD">
        <w:rPr>
          <w:i/>
          <w:iCs/>
          <w:sz w:val="24"/>
          <w:szCs w:val="24"/>
          <w:lang w:val="en-CA"/>
        </w:rPr>
        <w:t>increased</w:t>
      </w:r>
      <w:r w:rsidR="006C27BD" w:rsidRPr="006C27BD">
        <w:rPr>
          <w:sz w:val="24"/>
          <w:szCs w:val="24"/>
          <w:lang w:val="en-CA"/>
        </w:rPr>
        <w:t xml:space="preserve">, due to declining private sector investment in R&amp;D and Canada’s unique reliance on higher education contributions to R&amp;D. This number likely substantially underestimates the total contribution of students to Canada’s economy. </w:t>
      </w:r>
    </w:p>
    <w:p w14:paraId="356FAC23" w14:textId="20E50558" w:rsidR="00CD453B" w:rsidRPr="000012C8" w:rsidRDefault="00CD453B" w:rsidP="000012C8">
      <w:pPr>
        <w:spacing w:after="160" w:line="259" w:lineRule="auto"/>
        <w:rPr>
          <w:sz w:val="24"/>
          <w:szCs w:val="24"/>
        </w:rPr>
      </w:pPr>
    </w:p>
    <w:sectPr w:rsidR="00CD453B" w:rsidRPr="000012C8" w:rsidSect="009062E8">
      <w:headerReference w:type="default" r:id="rId7"/>
      <w:footerReference w:type="default" r:id="rId8"/>
      <w:pgSz w:w="12240" w:h="15840" w:code="1"/>
      <w:pgMar w:top="1202" w:right="1440" w:bottom="1440" w:left="1440" w:header="7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3C6B" w14:textId="77777777" w:rsidR="00DD0AD1" w:rsidRDefault="00DD0AD1" w:rsidP="00227F5B">
      <w:r>
        <w:separator/>
      </w:r>
    </w:p>
  </w:endnote>
  <w:endnote w:type="continuationSeparator" w:id="0">
    <w:p w14:paraId="4EA2FCDD" w14:textId="77777777" w:rsidR="00DD0AD1" w:rsidRDefault="00DD0AD1" w:rsidP="0022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venir Next">
    <w:altName w:val="Calibri"/>
    <w:charset w:val="00"/>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dobe Caslon Pro Bold">
    <w:altName w:val="Georgia"/>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B12F" w14:textId="5C137E47" w:rsidR="00C61E3A" w:rsidRPr="00D86B71" w:rsidRDefault="00C61E3A" w:rsidP="004A5FB9">
    <w:pPr>
      <w:jc w:val="center"/>
      <w:rPr>
        <w:rFonts w:ascii="Adobe Caslon Pro Bold" w:hAnsi="Adobe Caslon Pro Bold"/>
        <w:i/>
        <w:color w:val="59595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0F56" w14:textId="77777777" w:rsidR="00DD0AD1" w:rsidRDefault="00DD0AD1" w:rsidP="00227F5B">
      <w:r>
        <w:separator/>
      </w:r>
    </w:p>
  </w:footnote>
  <w:footnote w:type="continuationSeparator" w:id="0">
    <w:p w14:paraId="5E9D9F2B" w14:textId="77777777" w:rsidR="00DD0AD1" w:rsidRDefault="00DD0AD1" w:rsidP="00227F5B">
      <w:r>
        <w:continuationSeparator/>
      </w:r>
    </w:p>
  </w:footnote>
  <w:footnote w:id="1">
    <w:p w14:paraId="4C91279B" w14:textId="77777777" w:rsidR="006C27BD" w:rsidRDefault="006C27BD" w:rsidP="006C27BD">
      <w:pPr>
        <w:pStyle w:val="FootnoteText"/>
      </w:pPr>
      <w:r>
        <w:rPr>
          <w:rStyle w:val="FootnoteReference"/>
        </w:rPr>
        <w:footnoteRef/>
      </w:r>
      <w:r>
        <w:t xml:space="preserve"> The year the article was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3BC3" w14:textId="2B131801" w:rsidR="00CB76E3" w:rsidRDefault="00CB76E3">
    <w:pPr>
      <w:pStyle w:val="Header"/>
    </w:pPr>
    <w:r w:rsidRPr="00FB7996">
      <w:rPr>
        <w:rFonts w:ascii="Avenir Next" w:hAnsi="Avenir Next" w:cs="Arial Narrow"/>
        <w:noProof/>
        <w:sz w:val="22"/>
        <w:szCs w:val="22"/>
        <w:lang w:val="en-CA" w:eastAsia="en-CA"/>
      </w:rPr>
      <mc:AlternateContent>
        <mc:Choice Requires="wps">
          <w:drawing>
            <wp:anchor distT="0" distB="0" distL="114300" distR="114300" simplePos="0" relativeHeight="251659264" behindDoc="0" locked="0" layoutInCell="1" allowOverlap="1" wp14:anchorId="3CF5259A" wp14:editId="2D50C471">
              <wp:simplePos x="0" y="0"/>
              <wp:positionH relativeFrom="column">
                <wp:posOffset>3677323</wp:posOffset>
              </wp:positionH>
              <wp:positionV relativeFrom="paragraph">
                <wp:posOffset>-59055</wp:posOffset>
              </wp:positionV>
              <wp:extent cx="2270343" cy="779115"/>
              <wp:effectExtent l="0" t="0" r="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343" cy="77911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5259A" id="_x0000_t202" coordsize="21600,21600" o:spt="202" path="m,l,21600r21600,l21600,xe">
              <v:stroke joinstyle="miter"/>
              <v:path gradientshapeok="t" o:connecttype="rect"/>
            </v:shapetype>
            <v:shape id="Text Box 11" o:spid="_x0000_s1026" type="#_x0000_t202" style="position:absolute;margin-left:289.55pt;margin-top:-4.65pt;width:178.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" stroked="f">
              <v:textbox>
                <w:txbxContent>
                  <w:p w14:paraId="079453BC" w14:textId="77777777" w:rsidR="00281640" w:rsidRDefault="00CB76E3" w:rsidP="00CB76E3">
                    <w:pPr>
                      <w:spacing w:line="220" w:lineRule="exact"/>
                      <w:jc w:val="right"/>
                      <w:rPr>
                        <w:rFonts w:ascii="Arial" w:hAnsi="Arial" w:cs="Arial"/>
                      </w:rPr>
                    </w:pPr>
                    <w:r>
                      <w:rPr>
                        <w:rFonts w:ascii="Arial" w:hAnsi="Arial" w:cs="Arial"/>
                      </w:rPr>
                      <w:t xml:space="preserve">The </w:t>
                    </w:r>
                    <w:r w:rsidRPr="002C7053">
                      <w:rPr>
                        <w:rFonts w:ascii="Arial" w:hAnsi="Arial" w:cs="Arial"/>
                      </w:rPr>
                      <w:t>Graduate Students’ Association</w:t>
                    </w:r>
                    <w:r>
                      <w:rPr>
                        <w:rFonts w:ascii="Arial" w:hAnsi="Arial" w:cs="Arial"/>
                      </w:rPr>
                      <w:t xml:space="preserve"> </w:t>
                    </w:r>
                  </w:p>
                  <w:p w14:paraId="0F9C7F99" w14:textId="0AB307B6" w:rsidR="00CB76E3" w:rsidRPr="002C7053" w:rsidRDefault="00CB76E3" w:rsidP="00CB76E3">
                    <w:pPr>
                      <w:spacing w:line="220" w:lineRule="exact"/>
                      <w:jc w:val="right"/>
                      <w:rPr>
                        <w:rFonts w:ascii="Arial" w:hAnsi="Arial" w:cs="Arial"/>
                      </w:rPr>
                    </w:pPr>
                    <w:r>
                      <w:rPr>
                        <w:rFonts w:ascii="Arial" w:hAnsi="Arial" w:cs="Arial"/>
                      </w:rPr>
                      <w:t>University of Calgary</w:t>
                    </w:r>
                  </w:p>
                  <w:p w14:paraId="01D7D080" w14:textId="77777777" w:rsidR="00CB76E3" w:rsidRPr="002C7053" w:rsidRDefault="00CB76E3" w:rsidP="00CB76E3">
                    <w:pPr>
                      <w:spacing w:line="220" w:lineRule="exact"/>
                      <w:jc w:val="right"/>
                      <w:rPr>
                        <w:rFonts w:ascii="Arial" w:hAnsi="Arial" w:cs="Arial"/>
                      </w:rPr>
                    </w:pPr>
                    <w:r w:rsidRPr="002C7053">
                      <w:rPr>
                        <w:rFonts w:ascii="Arial" w:hAnsi="Arial" w:cs="Arial"/>
                      </w:rPr>
                      <w:t>1030 ES, 844 Campus Place NW</w:t>
                    </w:r>
                  </w:p>
                  <w:p w14:paraId="4F666FA7" w14:textId="77777777" w:rsidR="00CB76E3" w:rsidRPr="002C7053" w:rsidRDefault="00CB76E3" w:rsidP="00CB76E3">
                    <w:pPr>
                      <w:spacing w:line="220" w:lineRule="exact"/>
                      <w:jc w:val="right"/>
                      <w:rPr>
                        <w:rFonts w:ascii="Arial" w:hAnsi="Arial" w:cs="Arial"/>
                      </w:rPr>
                    </w:pPr>
                    <w:r w:rsidRPr="002C7053">
                      <w:rPr>
                        <w:rFonts w:ascii="Arial" w:hAnsi="Arial" w:cs="Arial"/>
                      </w:rPr>
                      <w:t>Calgary, Alberta T2N 1N4</w:t>
                    </w:r>
                  </w:p>
                  <w:p w14:paraId="27D63981" w14:textId="77777777" w:rsidR="00CB76E3" w:rsidRPr="002C7053" w:rsidRDefault="00CB76E3" w:rsidP="00CB76E3">
                    <w:pPr>
                      <w:spacing w:line="200" w:lineRule="exact"/>
                      <w:jc w:val="right"/>
                      <w:rPr>
                        <w:rFonts w:ascii="Arial" w:hAnsi="Arial" w:cs="Arial"/>
                      </w:rPr>
                    </w:pPr>
                    <w:r w:rsidRPr="002C7053">
                      <w:rPr>
                        <w:rFonts w:ascii="Arial" w:hAnsi="Arial" w:cs="Arial"/>
                      </w:rPr>
                      <w:t>(403) 220-5997</w:t>
                    </w:r>
                  </w:p>
                  <w:p w14:paraId="6068E08E" w14:textId="77777777" w:rsidR="00CB76E3" w:rsidRPr="002C7053" w:rsidRDefault="00CB76E3" w:rsidP="00CB76E3">
                    <w:pPr>
                      <w:spacing w:line="200" w:lineRule="exact"/>
                      <w:jc w:val="right"/>
                      <w:rPr>
                        <w:rFonts w:ascii="Arial" w:hAnsi="Arial" w:cs="Arial"/>
                      </w:rPr>
                    </w:pPr>
                    <w:r w:rsidRPr="002C7053">
                      <w:rPr>
                        <w:rFonts w:ascii="Arial" w:hAnsi="Arial" w:cs="Arial"/>
                      </w:rPr>
                      <w:t>www.gsa.ucalgary.ca</w:t>
                    </w:r>
                  </w:p>
                </w:txbxContent>
              </v:textbox>
            </v:shape>
          </w:pict>
        </mc:Fallback>
      </mc:AlternateContent>
    </w:r>
    <w:r>
      <w:rPr>
        <w:rFonts w:ascii="Avenir Next" w:hAnsi="Avenir Next" w:cs="Arial Narrow"/>
        <w:noProof/>
        <w:sz w:val="22"/>
        <w:szCs w:val="22"/>
        <w:lang w:val="en-CA" w:eastAsia="en-CA"/>
      </w:rPr>
      <w:drawing>
        <wp:inline distT="0" distB="0" distL="0" distR="0" wp14:anchorId="1AF75B28" wp14:editId="1E70D4B7">
          <wp:extent cx="2262318" cy="713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_horiz copy.jpg"/>
                  <pic:cNvPicPr/>
                </pic:nvPicPr>
                <pic:blipFill>
                  <a:blip r:embed="rId1"/>
                  <a:stretch>
                    <a:fillRect/>
                  </a:stretch>
                </pic:blipFill>
                <pic:spPr>
                  <a:xfrm>
                    <a:off x="0" y="0"/>
                    <a:ext cx="2278429" cy="719049"/>
                  </a:xfrm>
                  <a:prstGeom prst="rect">
                    <a:avLst/>
                  </a:prstGeom>
                </pic:spPr>
              </pic:pic>
            </a:graphicData>
          </a:graphic>
        </wp:inline>
      </w:drawing>
    </w:r>
    <w:r w:rsidRPr="00FB7996">
      <w:rPr>
        <w:rFonts w:ascii="Avenir Next" w:hAnsi="Avenir Next" w:cs="Arial Narrow"/>
        <w:noProof/>
        <w:sz w:val="22"/>
        <w:szCs w:val="22"/>
        <w:lang w:val="en-CA"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801"/>
    <w:multiLevelType w:val="hybridMultilevel"/>
    <w:tmpl w:val="0AACA9A0"/>
    <w:lvl w:ilvl="0" w:tplc="594EA2AA">
      <w:start w:val="1"/>
      <w:numFmt w:val="bullet"/>
      <w:lvlText w:val=""/>
      <w:lvlJc w:val="left"/>
      <w:pPr>
        <w:tabs>
          <w:tab w:val="num" w:pos="648"/>
        </w:tabs>
        <w:ind w:left="648" w:hanging="288"/>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F392065"/>
    <w:multiLevelType w:val="hybridMultilevel"/>
    <w:tmpl w:val="90544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D10943"/>
    <w:multiLevelType w:val="hybridMultilevel"/>
    <w:tmpl w:val="9F4A6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A2723B"/>
    <w:multiLevelType w:val="hybridMultilevel"/>
    <w:tmpl w:val="04A46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F558F3"/>
    <w:multiLevelType w:val="hybridMultilevel"/>
    <w:tmpl w:val="6728C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8912EE"/>
    <w:multiLevelType w:val="hybridMultilevel"/>
    <w:tmpl w:val="1E24A8C4"/>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BC17BC"/>
    <w:multiLevelType w:val="hybridMultilevel"/>
    <w:tmpl w:val="8B14DF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5D309C"/>
    <w:multiLevelType w:val="hybridMultilevel"/>
    <w:tmpl w:val="29EE1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523AB1"/>
    <w:multiLevelType w:val="hybridMultilevel"/>
    <w:tmpl w:val="AA1C88E6"/>
    <w:lvl w:ilvl="0" w:tplc="10090001">
      <w:start w:val="1"/>
      <w:numFmt w:val="bullet"/>
      <w:lvlText w:val=""/>
      <w:lvlJc w:val="left"/>
      <w:pPr>
        <w:ind w:left="828" w:hanging="360"/>
      </w:pPr>
      <w:rPr>
        <w:rFonts w:ascii="Symbol" w:hAnsi="Symbol" w:hint="default"/>
      </w:rPr>
    </w:lvl>
    <w:lvl w:ilvl="1" w:tplc="10090003">
      <w:start w:val="1"/>
      <w:numFmt w:val="bullet"/>
      <w:lvlText w:val="o"/>
      <w:lvlJc w:val="left"/>
      <w:pPr>
        <w:ind w:left="1548" w:hanging="360"/>
      </w:pPr>
      <w:rPr>
        <w:rFonts w:ascii="Courier New" w:hAnsi="Courier New" w:cs="Courier New" w:hint="default"/>
      </w:rPr>
    </w:lvl>
    <w:lvl w:ilvl="2" w:tplc="10090005">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9" w15:restartNumberingAfterBreak="0">
    <w:nsid w:val="450C1D53"/>
    <w:multiLevelType w:val="hybridMultilevel"/>
    <w:tmpl w:val="3F9C9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7703A7"/>
    <w:multiLevelType w:val="hybridMultilevel"/>
    <w:tmpl w:val="B396F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C7444A"/>
    <w:multiLevelType w:val="hybridMultilevel"/>
    <w:tmpl w:val="11A8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E577C"/>
    <w:multiLevelType w:val="hybridMultilevel"/>
    <w:tmpl w:val="4ED84DB6"/>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7D72878"/>
    <w:multiLevelType w:val="hybridMultilevel"/>
    <w:tmpl w:val="948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4829BB"/>
    <w:multiLevelType w:val="hybridMultilevel"/>
    <w:tmpl w:val="2FAAF0A8"/>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C241882"/>
    <w:multiLevelType w:val="hybridMultilevel"/>
    <w:tmpl w:val="C2C0B6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7E1BEF"/>
    <w:multiLevelType w:val="hybridMultilevel"/>
    <w:tmpl w:val="9FD89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2E141D"/>
    <w:multiLevelType w:val="hybridMultilevel"/>
    <w:tmpl w:val="960E1F92"/>
    <w:lvl w:ilvl="0" w:tplc="594EA2AA">
      <w:start w:val="1"/>
      <w:numFmt w:val="bullet"/>
      <w:lvlText w:val=""/>
      <w:lvlJc w:val="left"/>
      <w:pPr>
        <w:tabs>
          <w:tab w:val="num" w:pos="288"/>
        </w:tabs>
        <w:ind w:left="288" w:hanging="288"/>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26340AD"/>
    <w:multiLevelType w:val="hybridMultilevel"/>
    <w:tmpl w:val="C102ED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73253A"/>
    <w:multiLevelType w:val="hybridMultilevel"/>
    <w:tmpl w:val="950EC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F36098"/>
    <w:multiLevelType w:val="hybridMultilevel"/>
    <w:tmpl w:val="C8620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53F34C4"/>
    <w:multiLevelType w:val="hybridMultilevel"/>
    <w:tmpl w:val="8A1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E560D"/>
    <w:multiLevelType w:val="hybridMultilevel"/>
    <w:tmpl w:val="0F768A72"/>
    <w:lvl w:ilvl="0" w:tplc="10090001">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3" w15:restartNumberingAfterBreak="0">
    <w:nsid w:val="77984AE9"/>
    <w:multiLevelType w:val="hybridMultilevel"/>
    <w:tmpl w:val="FE3A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B26370"/>
    <w:multiLevelType w:val="hybridMultilevel"/>
    <w:tmpl w:val="141CF364"/>
    <w:lvl w:ilvl="0" w:tplc="0409000F">
      <w:start w:val="1"/>
      <w:numFmt w:val="decimal"/>
      <w:lvlText w:val="%1."/>
      <w:lvlJc w:val="left"/>
      <w:pPr>
        <w:tabs>
          <w:tab w:val="num" w:pos="720"/>
        </w:tabs>
        <w:ind w:left="720" w:hanging="360"/>
      </w:pPr>
      <w:rPr>
        <w:rFonts w:hint="default"/>
      </w:rPr>
    </w:lvl>
    <w:lvl w:ilvl="1" w:tplc="594EA2AA">
      <w:start w:val="1"/>
      <w:numFmt w:val="bullet"/>
      <w:lvlText w:val=""/>
      <w:lvlJc w:val="left"/>
      <w:pPr>
        <w:tabs>
          <w:tab w:val="num" w:pos="1368"/>
        </w:tabs>
        <w:ind w:left="1368" w:hanging="288"/>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57789E"/>
    <w:multiLevelType w:val="multilevel"/>
    <w:tmpl w:val="AC7C7B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F7C15D6"/>
    <w:multiLevelType w:val="hybridMultilevel"/>
    <w:tmpl w:val="F1B692F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7FC334AE"/>
    <w:multiLevelType w:val="hybridMultilevel"/>
    <w:tmpl w:val="82709558"/>
    <w:lvl w:ilvl="0" w:tplc="594EA2AA">
      <w:start w:val="1"/>
      <w:numFmt w:val="bullet"/>
      <w:lvlText w:val=""/>
      <w:lvlJc w:val="left"/>
      <w:pPr>
        <w:tabs>
          <w:tab w:val="num" w:pos="648"/>
        </w:tabs>
        <w:ind w:left="648" w:hanging="288"/>
      </w:pPr>
      <w:rPr>
        <w:rFonts w:ascii="Wingdings"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16cid:durableId="165901681">
    <w:abstractNumId w:val="25"/>
  </w:num>
  <w:num w:numId="2" w16cid:durableId="172576743">
    <w:abstractNumId w:val="24"/>
  </w:num>
  <w:num w:numId="3" w16cid:durableId="1443913870">
    <w:abstractNumId w:val="0"/>
  </w:num>
  <w:num w:numId="4" w16cid:durableId="899709518">
    <w:abstractNumId w:val="27"/>
  </w:num>
  <w:num w:numId="5" w16cid:durableId="786850101">
    <w:abstractNumId w:val="26"/>
  </w:num>
  <w:num w:numId="6" w16cid:durableId="1558397146">
    <w:abstractNumId w:val="17"/>
  </w:num>
  <w:num w:numId="7" w16cid:durableId="708190307">
    <w:abstractNumId w:val="14"/>
  </w:num>
  <w:num w:numId="8" w16cid:durableId="1698000814">
    <w:abstractNumId w:val="12"/>
  </w:num>
  <w:num w:numId="9" w16cid:durableId="796144278">
    <w:abstractNumId w:val="21"/>
  </w:num>
  <w:num w:numId="10" w16cid:durableId="1553616659">
    <w:abstractNumId w:val="11"/>
  </w:num>
  <w:num w:numId="11" w16cid:durableId="62721644">
    <w:abstractNumId w:val="5"/>
  </w:num>
  <w:num w:numId="12" w16cid:durableId="1628046448">
    <w:abstractNumId w:val="20"/>
  </w:num>
  <w:num w:numId="13" w16cid:durableId="605885680">
    <w:abstractNumId w:val="19"/>
  </w:num>
  <w:num w:numId="14" w16cid:durableId="199054411">
    <w:abstractNumId w:val="3"/>
  </w:num>
  <w:num w:numId="15" w16cid:durableId="858742067">
    <w:abstractNumId w:val="22"/>
  </w:num>
  <w:num w:numId="16" w16cid:durableId="747115057">
    <w:abstractNumId w:val="10"/>
  </w:num>
  <w:num w:numId="17" w16cid:durableId="281235062">
    <w:abstractNumId w:val="1"/>
  </w:num>
  <w:num w:numId="18" w16cid:durableId="1360352106">
    <w:abstractNumId w:val="8"/>
  </w:num>
  <w:num w:numId="19" w16cid:durableId="1235970441">
    <w:abstractNumId w:val="13"/>
  </w:num>
  <w:num w:numId="20" w16cid:durableId="133060302">
    <w:abstractNumId w:val="9"/>
  </w:num>
  <w:num w:numId="21" w16cid:durableId="1649750783">
    <w:abstractNumId w:val="4"/>
  </w:num>
  <w:num w:numId="22" w16cid:durableId="1960337573">
    <w:abstractNumId w:val="16"/>
  </w:num>
  <w:num w:numId="23" w16cid:durableId="1005978479">
    <w:abstractNumId w:val="23"/>
  </w:num>
  <w:num w:numId="24" w16cid:durableId="1095634389">
    <w:abstractNumId w:val="18"/>
  </w:num>
  <w:num w:numId="25" w16cid:durableId="1542787547">
    <w:abstractNumId w:val="7"/>
  </w:num>
  <w:num w:numId="26" w16cid:durableId="1446533608">
    <w:abstractNumId w:val="15"/>
  </w:num>
  <w:num w:numId="27" w16cid:durableId="1798330684">
    <w:abstractNumId w:val="6"/>
  </w:num>
  <w:num w:numId="28" w16cid:durableId="89489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74"/>
    <w:rsid w:val="000012C8"/>
    <w:rsid w:val="00001F11"/>
    <w:rsid w:val="00003A2C"/>
    <w:rsid w:val="00021D83"/>
    <w:rsid w:val="0002728D"/>
    <w:rsid w:val="00040AB8"/>
    <w:rsid w:val="000444E8"/>
    <w:rsid w:val="0004595D"/>
    <w:rsid w:val="00060993"/>
    <w:rsid w:val="000673E9"/>
    <w:rsid w:val="000711D6"/>
    <w:rsid w:val="00090C61"/>
    <w:rsid w:val="00094956"/>
    <w:rsid w:val="000A1275"/>
    <w:rsid w:val="000B29EB"/>
    <w:rsid w:val="000C7B6E"/>
    <w:rsid w:val="000E2E0E"/>
    <w:rsid w:val="000F0E3E"/>
    <w:rsid w:val="000F2601"/>
    <w:rsid w:val="00127425"/>
    <w:rsid w:val="00151AFE"/>
    <w:rsid w:val="00165C6E"/>
    <w:rsid w:val="00166BDF"/>
    <w:rsid w:val="00184BAF"/>
    <w:rsid w:val="00185D34"/>
    <w:rsid w:val="001935BB"/>
    <w:rsid w:val="001971C9"/>
    <w:rsid w:val="001A1DB2"/>
    <w:rsid w:val="001A408D"/>
    <w:rsid w:val="001B42CA"/>
    <w:rsid w:val="001C12C1"/>
    <w:rsid w:val="001D05CB"/>
    <w:rsid w:val="001D1F93"/>
    <w:rsid w:val="001D7A1E"/>
    <w:rsid w:val="001E09F2"/>
    <w:rsid w:val="001E7672"/>
    <w:rsid w:val="001F5D33"/>
    <w:rsid w:val="00204FE3"/>
    <w:rsid w:val="002060AD"/>
    <w:rsid w:val="0021111A"/>
    <w:rsid w:val="00211CA0"/>
    <w:rsid w:val="002167AF"/>
    <w:rsid w:val="00216918"/>
    <w:rsid w:val="0022224A"/>
    <w:rsid w:val="00222D78"/>
    <w:rsid w:val="00224B1B"/>
    <w:rsid w:val="00227F5B"/>
    <w:rsid w:val="00236CD9"/>
    <w:rsid w:val="002370C9"/>
    <w:rsid w:val="00241F25"/>
    <w:rsid w:val="0024203F"/>
    <w:rsid w:val="002436BD"/>
    <w:rsid w:val="002525CC"/>
    <w:rsid w:val="002571F4"/>
    <w:rsid w:val="002611DE"/>
    <w:rsid w:val="00263D46"/>
    <w:rsid w:val="00270FC0"/>
    <w:rsid w:val="002804FA"/>
    <w:rsid w:val="00281640"/>
    <w:rsid w:val="00285B4F"/>
    <w:rsid w:val="002879E3"/>
    <w:rsid w:val="00292768"/>
    <w:rsid w:val="00297041"/>
    <w:rsid w:val="002A0B6C"/>
    <w:rsid w:val="002B366B"/>
    <w:rsid w:val="002C7053"/>
    <w:rsid w:val="002D646A"/>
    <w:rsid w:val="002F0C61"/>
    <w:rsid w:val="002F3A8D"/>
    <w:rsid w:val="00311913"/>
    <w:rsid w:val="00323F12"/>
    <w:rsid w:val="00324D7A"/>
    <w:rsid w:val="00347210"/>
    <w:rsid w:val="003574D9"/>
    <w:rsid w:val="003700EC"/>
    <w:rsid w:val="00373BA0"/>
    <w:rsid w:val="0038438B"/>
    <w:rsid w:val="00386C69"/>
    <w:rsid w:val="00396097"/>
    <w:rsid w:val="00397932"/>
    <w:rsid w:val="003A3A2B"/>
    <w:rsid w:val="003B36D1"/>
    <w:rsid w:val="003B49A2"/>
    <w:rsid w:val="003E73A4"/>
    <w:rsid w:val="003F4FFF"/>
    <w:rsid w:val="004009EA"/>
    <w:rsid w:val="00411724"/>
    <w:rsid w:val="00414386"/>
    <w:rsid w:val="0042047E"/>
    <w:rsid w:val="0042223F"/>
    <w:rsid w:val="00425FFA"/>
    <w:rsid w:val="00433B2E"/>
    <w:rsid w:val="004475F9"/>
    <w:rsid w:val="00452BEA"/>
    <w:rsid w:val="00454DC6"/>
    <w:rsid w:val="00455ECB"/>
    <w:rsid w:val="004619FD"/>
    <w:rsid w:val="00474E73"/>
    <w:rsid w:val="004845D4"/>
    <w:rsid w:val="00495010"/>
    <w:rsid w:val="004A041A"/>
    <w:rsid w:val="004A5FB9"/>
    <w:rsid w:val="004B021C"/>
    <w:rsid w:val="004B4BBA"/>
    <w:rsid w:val="004B5287"/>
    <w:rsid w:val="004C04E5"/>
    <w:rsid w:val="004C0E81"/>
    <w:rsid w:val="004C2750"/>
    <w:rsid w:val="004C4D69"/>
    <w:rsid w:val="004C55E0"/>
    <w:rsid w:val="004C756B"/>
    <w:rsid w:val="004C796D"/>
    <w:rsid w:val="00500C97"/>
    <w:rsid w:val="0050677D"/>
    <w:rsid w:val="0051124C"/>
    <w:rsid w:val="0052433C"/>
    <w:rsid w:val="005336D4"/>
    <w:rsid w:val="00537EE3"/>
    <w:rsid w:val="0054315D"/>
    <w:rsid w:val="005440A2"/>
    <w:rsid w:val="00557AFA"/>
    <w:rsid w:val="00557F71"/>
    <w:rsid w:val="00583B91"/>
    <w:rsid w:val="005A5441"/>
    <w:rsid w:val="005A5584"/>
    <w:rsid w:val="005A74AE"/>
    <w:rsid w:val="005E0356"/>
    <w:rsid w:val="005E18F3"/>
    <w:rsid w:val="005E63FC"/>
    <w:rsid w:val="005E6B44"/>
    <w:rsid w:val="005F1EAB"/>
    <w:rsid w:val="005F1ED9"/>
    <w:rsid w:val="006344F2"/>
    <w:rsid w:val="0068024B"/>
    <w:rsid w:val="0068122D"/>
    <w:rsid w:val="00682FFF"/>
    <w:rsid w:val="00685421"/>
    <w:rsid w:val="00693310"/>
    <w:rsid w:val="006A453B"/>
    <w:rsid w:val="006A5120"/>
    <w:rsid w:val="006A56E2"/>
    <w:rsid w:val="006C27BD"/>
    <w:rsid w:val="006D795C"/>
    <w:rsid w:val="006E0383"/>
    <w:rsid w:val="006E173B"/>
    <w:rsid w:val="006E28A1"/>
    <w:rsid w:val="006E5D43"/>
    <w:rsid w:val="006E5E02"/>
    <w:rsid w:val="0071651F"/>
    <w:rsid w:val="0072105F"/>
    <w:rsid w:val="00771D58"/>
    <w:rsid w:val="00772D5E"/>
    <w:rsid w:val="0077450E"/>
    <w:rsid w:val="00780AF5"/>
    <w:rsid w:val="00780DC1"/>
    <w:rsid w:val="0078326E"/>
    <w:rsid w:val="00792CE0"/>
    <w:rsid w:val="007A3A13"/>
    <w:rsid w:val="007B66E7"/>
    <w:rsid w:val="007C0DEB"/>
    <w:rsid w:val="007D0ACA"/>
    <w:rsid w:val="007D3F55"/>
    <w:rsid w:val="007D40BE"/>
    <w:rsid w:val="007E05A2"/>
    <w:rsid w:val="007E2235"/>
    <w:rsid w:val="007E4E26"/>
    <w:rsid w:val="007E7C8C"/>
    <w:rsid w:val="007F4F2A"/>
    <w:rsid w:val="00800A15"/>
    <w:rsid w:val="008336E1"/>
    <w:rsid w:val="00833DE2"/>
    <w:rsid w:val="00847787"/>
    <w:rsid w:val="008672FF"/>
    <w:rsid w:val="00886AC4"/>
    <w:rsid w:val="00887EDE"/>
    <w:rsid w:val="00887FE7"/>
    <w:rsid w:val="00895DFA"/>
    <w:rsid w:val="008A008C"/>
    <w:rsid w:val="008A3596"/>
    <w:rsid w:val="008B2696"/>
    <w:rsid w:val="008B432D"/>
    <w:rsid w:val="008B5BD0"/>
    <w:rsid w:val="008C014B"/>
    <w:rsid w:val="008C1281"/>
    <w:rsid w:val="008E139F"/>
    <w:rsid w:val="008E1EC2"/>
    <w:rsid w:val="008F0EBC"/>
    <w:rsid w:val="008F3D1A"/>
    <w:rsid w:val="008F678D"/>
    <w:rsid w:val="009062E8"/>
    <w:rsid w:val="009112A8"/>
    <w:rsid w:val="00937FD2"/>
    <w:rsid w:val="00940027"/>
    <w:rsid w:val="00954848"/>
    <w:rsid w:val="00972E34"/>
    <w:rsid w:val="009738AE"/>
    <w:rsid w:val="00981A36"/>
    <w:rsid w:val="0098419C"/>
    <w:rsid w:val="0098441B"/>
    <w:rsid w:val="00996813"/>
    <w:rsid w:val="009A0733"/>
    <w:rsid w:val="009A6E78"/>
    <w:rsid w:val="009C4183"/>
    <w:rsid w:val="009C472A"/>
    <w:rsid w:val="009C6C37"/>
    <w:rsid w:val="009D7741"/>
    <w:rsid w:val="009E00DE"/>
    <w:rsid w:val="009E3CF5"/>
    <w:rsid w:val="009E71E2"/>
    <w:rsid w:val="009F0145"/>
    <w:rsid w:val="00A04409"/>
    <w:rsid w:val="00A06DCA"/>
    <w:rsid w:val="00A07FA0"/>
    <w:rsid w:val="00A14055"/>
    <w:rsid w:val="00A2157C"/>
    <w:rsid w:val="00A30A48"/>
    <w:rsid w:val="00A44A2B"/>
    <w:rsid w:val="00AA6EF8"/>
    <w:rsid w:val="00AB2DEF"/>
    <w:rsid w:val="00AC448B"/>
    <w:rsid w:val="00AC5397"/>
    <w:rsid w:val="00AD6BE2"/>
    <w:rsid w:val="00AE02F6"/>
    <w:rsid w:val="00AE58C0"/>
    <w:rsid w:val="00AF143F"/>
    <w:rsid w:val="00B00B15"/>
    <w:rsid w:val="00B06E8E"/>
    <w:rsid w:val="00B26A11"/>
    <w:rsid w:val="00B4104E"/>
    <w:rsid w:val="00B4250E"/>
    <w:rsid w:val="00B46525"/>
    <w:rsid w:val="00B51485"/>
    <w:rsid w:val="00B54DB0"/>
    <w:rsid w:val="00B61CAA"/>
    <w:rsid w:val="00B640B1"/>
    <w:rsid w:val="00B720A2"/>
    <w:rsid w:val="00B9439A"/>
    <w:rsid w:val="00B95500"/>
    <w:rsid w:val="00BA72DC"/>
    <w:rsid w:val="00BB76B9"/>
    <w:rsid w:val="00BC2BA0"/>
    <w:rsid w:val="00BC67AB"/>
    <w:rsid w:val="00BE536C"/>
    <w:rsid w:val="00BF419D"/>
    <w:rsid w:val="00BF47C5"/>
    <w:rsid w:val="00C005F4"/>
    <w:rsid w:val="00C04281"/>
    <w:rsid w:val="00C05853"/>
    <w:rsid w:val="00C07768"/>
    <w:rsid w:val="00C1674B"/>
    <w:rsid w:val="00C207B4"/>
    <w:rsid w:val="00C21CA8"/>
    <w:rsid w:val="00C2266E"/>
    <w:rsid w:val="00C33C8D"/>
    <w:rsid w:val="00C41EB0"/>
    <w:rsid w:val="00C44AEA"/>
    <w:rsid w:val="00C50734"/>
    <w:rsid w:val="00C52CC8"/>
    <w:rsid w:val="00C619C7"/>
    <w:rsid w:val="00C61E3A"/>
    <w:rsid w:val="00C81CA0"/>
    <w:rsid w:val="00CB38A9"/>
    <w:rsid w:val="00CB5FF7"/>
    <w:rsid w:val="00CB76E3"/>
    <w:rsid w:val="00CC522A"/>
    <w:rsid w:val="00CD26FC"/>
    <w:rsid w:val="00CD31D6"/>
    <w:rsid w:val="00CD453B"/>
    <w:rsid w:val="00CD5D30"/>
    <w:rsid w:val="00CE4ECF"/>
    <w:rsid w:val="00CE4FDC"/>
    <w:rsid w:val="00CF408E"/>
    <w:rsid w:val="00D02D74"/>
    <w:rsid w:val="00D05651"/>
    <w:rsid w:val="00D06E79"/>
    <w:rsid w:val="00D11808"/>
    <w:rsid w:val="00D128D4"/>
    <w:rsid w:val="00D157E4"/>
    <w:rsid w:val="00D21E87"/>
    <w:rsid w:val="00D273D9"/>
    <w:rsid w:val="00D331FB"/>
    <w:rsid w:val="00D36C37"/>
    <w:rsid w:val="00D41F0E"/>
    <w:rsid w:val="00D45CB4"/>
    <w:rsid w:val="00D4612B"/>
    <w:rsid w:val="00D53A20"/>
    <w:rsid w:val="00D7434A"/>
    <w:rsid w:val="00D74E56"/>
    <w:rsid w:val="00D86B71"/>
    <w:rsid w:val="00D94412"/>
    <w:rsid w:val="00DA6DC2"/>
    <w:rsid w:val="00DB21AE"/>
    <w:rsid w:val="00DB5046"/>
    <w:rsid w:val="00DC18D5"/>
    <w:rsid w:val="00DD0AD1"/>
    <w:rsid w:val="00DD7A02"/>
    <w:rsid w:val="00DD7AFB"/>
    <w:rsid w:val="00DF61AF"/>
    <w:rsid w:val="00E0011A"/>
    <w:rsid w:val="00E00C8C"/>
    <w:rsid w:val="00E05C00"/>
    <w:rsid w:val="00E132CA"/>
    <w:rsid w:val="00E179D2"/>
    <w:rsid w:val="00E26FF1"/>
    <w:rsid w:val="00E34A95"/>
    <w:rsid w:val="00E4039C"/>
    <w:rsid w:val="00E44240"/>
    <w:rsid w:val="00E54B2A"/>
    <w:rsid w:val="00E75476"/>
    <w:rsid w:val="00E91CC1"/>
    <w:rsid w:val="00E94D82"/>
    <w:rsid w:val="00EA3ABE"/>
    <w:rsid w:val="00EA4E20"/>
    <w:rsid w:val="00ED7D49"/>
    <w:rsid w:val="00EE03B8"/>
    <w:rsid w:val="00EE3EFB"/>
    <w:rsid w:val="00EF4501"/>
    <w:rsid w:val="00EF51A3"/>
    <w:rsid w:val="00F04FA7"/>
    <w:rsid w:val="00F05ED3"/>
    <w:rsid w:val="00F16124"/>
    <w:rsid w:val="00F17061"/>
    <w:rsid w:val="00F17289"/>
    <w:rsid w:val="00F22362"/>
    <w:rsid w:val="00F31C77"/>
    <w:rsid w:val="00F338F6"/>
    <w:rsid w:val="00F36816"/>
    <w:rsid w:val="00F471CC"/>
    <w:rsid w:val="00F62324"/>
    <w:rsid w:val="00F72905"/>
    <w:rsid w:val="00F74AF9"/>
    <w:rsid w:val="00F813EC"/>
    <w:rsid w:val="00F82FA6"/>
    <w:rsid w:val="00F903CF"/>
    <w:rsid w:val="00F90839"/>
    <w:rsid w:val="00F93684"/>
    <w:rsid w:val="00F97985"/>
    <w:rsid w:val="00FA6B20"/>
    <w:rsid w:val="00FB7996"/>
    <w:rsid w:val="00FD05E0"/>
    <w:rsid w:val="00FD5266"/>
    <w:rsid w:val="00FE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B83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F5"/>
    <w:rPr>
      <w:lang w:val="en-US" w:eastAsia="en-US"/>
    </w:rPr>
  </w:style>
  <w:style w:type="paragraph" w:styleId="Heading1">
    <w:name w:val="heading 1"/>
    <w:basedOn w:val="Normal"/>
    <w:next w:val="Normal"/>
    <w:link w:val="Heading1Char"/>
    <w:uiPriority w:val="99"/>
    <w:qFormat/>
    <w:rsid w:val="006E5D43"/>
    <w:pPr>
      <w:keepNext/>
      <w:outlineLvl w:val="0"/>
    </w:pPr>
    <w:rPr>
      <w:rFonts w:eastAsia="PMingLiU"/>
      <w:b/>
      <w:bCs/>
      <w:sz w:val="28"/>
      <w:szCs w:val="28"/>
      <w:lang w:eastAsia="zh-TW"/>
    </w:rPr>
  </w:style>
  <w:style w:type="paragraph" w:styleId="Heading2">
    <w:name w:val="heading 2"/>
    <w:basedOn w:val="Normal"/>
    <w:next w:val="Normal"/>
    <w:link w:val="Heading2Char"/>
    <w:uiPriority w:val="99"/>
    <w:qFormat/>
    <w:rsid w:val="006E5D43"/>
    <w:pPr>
      <w:keepNext/>
      <w:outlineLvl w:val="1"/>
    </w:pPr>
    <w:rPr>
      <w:rFonts w:eastAsia="PMingLiU"/>
      <w:b/>
      <w:bCs/>
      <w:sz w:val="24"/>
      <w:szCs w:val="24"/>
      <w:lang w:eastAsia="zh-TW"/>
    </w:rPr>
  </w:style>
  <w:style w:type="paragraph" w:styleId="Heading3">
    <w:name w:val="heading 3"/>
    <w:basedOn w:val="Normal"/>
    <w:next w:val="Normal"/>
    <w:link w:val="Heading3Char"/>
    <w:uiPriority w:val="99"/>
    <w:qFormat/>
    <w:rsid w:val="006E5D43"/>
    <w:pPr>
      <w:keepNext/>
      <w:ind w:left="360"/>
      <w:outlineLvl w:val="2"/>
    </w:pPr>
    <w:rPr>
      <w:rFonts w:eastAsia="PMingLiU"/>
      <w:sz w:val="28"/>
      <w:szCs w:val="28"/>
      <w:lang w:eastAsia="zh-TW"/>
    </w:rPr>
  </w:style>
  <w:style w:type="paragraph" w:styleId="Heading4">
    <w:name w:val="heading 4"/>
    <w:basedOn w:val="Normal"/>
    <w:next w:val="Normal"/>
    <w:link w:val="Heading4Char"/>
    <w:uiPriority w:val="99"/>
    <w:qFormat/>
    <w:rsid w:val="006E5D43"/>
    <w:pPr>
      <w:keepNext/>
      <w:outlineLvl w:val="3"/>
    </w:pPr>
    <w:rPr>
      <w:rFonts w:eastAsia="PMingLiU"/>
      <w:sz w:val="28"/>
      <w:szCs w:val="28"/>
      <w:lang w:eastAsia="zh-TW"/>
    </w:rPr>
  </w:style>
  <w:style w:type="paragraph" w:styleId="Heading5">
    <w:name w:val="heading 5"/>
    <w:basedOn w:val="Normal"/>
    <w:next w:val="Normal"/>
    <w:link w:val="Heading5Char"/>
    <w:uiPriority w:val="99"/>
    <w:qFormat/>
    <w:rsid w:val="006E5D43"/>
    <w:pPr>
      <w:keepNext/>
      <w:ind w:left="3600"/>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6E5D43"/>
    <w:pPr>
      <w:keepNext/>
      <w:spacing w:before="12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3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2E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72E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72E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72E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72E3D"/>
    <w:rPr>
      <w:rFonts w:ascii="Calibri" w:eastAsia="Times New Roman" w:hAnsi="Calibri" w:cs="Times New Roman"/>
      <w:b/>
      <w:bCs/>
    </w:rPr>
  </w:style>
  <w:style w:type="paragraph" w:styleId="Header">
    <w:name w:val="header"/>
    <w:basedOn w:val="Normal"/>
    <w:link w:val="HeaderChar"/>
    <w:uiPriority w:val="99"/>
    <w:rsid w:val="006E5D43"/>
    <w:pPr>
      <w:tabs>
        <w:tab w:val="center" w:pos="4320"/>
        <w:tab w:val="right" w:pos="8640"/>
      </w:tabs>
    </w:pPr>
  </w:style>
  <w:style w:type="character" w:customStyle="1" w:styleId="HeaderChar">
    <w:name w:val="Header Char"/>
    <w:basedOn w:val="DefaultParagraphFont"/>
    <w:link w:val="Header"/>
    <w:uiPriority w:val="99"/>
    <w:rsid w:val="00C72E3D"/>
    <w:rPr>
      <w:sz w:val="20"/>
      <w:szCs w:val="20"/>
    </w:rPr>
  </w:style>
  <w:style w:type="paragraph" w:styleId="Title">
    <w:name w:val="Title"/>
    <w:basedOn w:val="Normal"/>
    <w:link w:val="TitleChar"/>
    <w:uiPriority w:val="99"/>
    <w:qFormat/>
    <w:rsid w:val="006E5D43"/>
    <w:pPr>
      <w:jc w:val="center"/>
    </w:pPr>
    <w:rPr>
      <w:rFonts w:eastAsia="PMingLiU"/>
      <w:sz w:val="28"/>
      <w:szCs w:val="28"/>
      <w:lang w:eastAsia="zh-TW"/>
    </w:rPr>
  </w:style>
  <w:style w:type="character" w:customStyle="1" w:styleId="TitleChar">
    <w:name w:val="Title Char"/>
    <w:basedOn w:val="DefaultParagraphFont"/>
    <w:link w:val="Title"/>
    <w:uiPriority w:val="10"/>
    <w:rsid w:val="00C72E3D"/>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6E5D43"/>
    <w:pPr>
      <w:ind w:left="5040" w:hanging="2160"/>
    </w:pPr>
    <w:rPr>
      <w:rFonts w:eastAsia="PMingLiU"/>
      <w:sz w:val="24"/>
      <w:szCs w:val="24"/>
      <w:lang w:eastAsia="zh-TW"/>
    </w:rPr>
  </w:style>
  <w:style w:type="character" w:customStyle="1" w:styleId="BodyText2Char">
    <w:name w:val="Body Text 2 Char"/>
    <w:basedOn w:val="DefaultParagraphFont"/>
    <w:link w:val="BodyText2"/>
    <w:uiPriority w:val="99"/>
    <w:semiHidden/>
    <w:rsid w:val="00C72E3D"/>
    <w:rPr>
      <w:sz w:val="20"/>
      <w:szCs w:val="20"/>
    </w:rPr>
  </w:style>
  <w:style w:type="paragraph" w:styleId="BodyText">
    <w:name w:val="Body Text"/>
    <w:basedOn w:val="Normal"/>
    <w:link w:val="BodyTextChar"/>
    <w:uiPriority w:val="99"/>
    <w:rsid w:val="006E5D43"/>
    <w:rPr>
      <w:sz w:val="24"/>
      <w:szCs w:val="24"/>
    </w:rPr>
  </w:style>
  <w:style w:type="character" w:customStyle="1" w:styleId="BodyTextChar">
    <w:name w:val="Body Text Char"/>
    <w:basedOn w:val="DefaultParagraphFont"/>
    <w:link w:val="BodyText"/>
    <w:uiPriority w:val="99"/>
    <w:semiHidden/>
    <w:rsid w:val="00C72E3D"/>
    <w:rPr>
      <w:sz w:val="20"/>
      <w:szCs w:val="20"/>
    </w:rPr>
  </w:style>
  <w:style w:type="character" w:styleId="Hyperlink">
    <w:name w:val="Hyperlink"/>
    <w:basedOn w:val="DefaultParagraphFont"/>
    <w:rsid w:val="006E5D43"/>
    <w:rPr>
      <w:color w:val="0000FF"/>
      <w:u w:val="single"/>
    </w:rPr>
  </w:style>
  <w:style w:type="character" w:customStyle="1" w:styleId="subheading">
    <w:name w:val="subheading"/>
    <w:basedOn w:val="DefaultParagraphFont"/>
    <w:uiPriority w:val="99"/>
    <w:rsid w:val="00FD5266"/>
  </w:style>
  <w:style w:type="paragraph" w:styleId="NormalWeb">
    <w:name w:val="Normal (Web)"/>
    <w:basedOn w:val="Normal"/>
    <w:uiPriority w:val="99"/>
    <w:rsid w:val="00682FFF"/>
    <w:pPr>
      <w:spacing w:before="100" w:beforeAutospacing="1" w:after="100" w:afterAutospacing="1"/>
    </w:pPr>
    <w:rPr>
      <w:sz w:val="24"/>
      <w:szCs w:val="24"/>
    </w:rPr>
  </w:style>
  <w:style w:type="paragraph" w:styleId="HTMLPreformatted">
    <w:name w:val="HTML Preformatted"/>
    <w:basedOn w:val="Normal"/>
    <w:link w:val="HTMLPreformattedChar"/>
    <w:uiPriority w:val="99"/>
    <w:rsid w:val="0068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72E3D"/>
    <w:rPr>
      <w:rFonts w:ascii="Courier New" w:hAnsi="Courier New" w:cs="Courier New"/>
      <w:sz w:val="20"/>
      <w:szCs w:val="20"/>
    </w:rPr>
  </w:style>
  <w:style w:type="paragraph" w:styleId="BalloonText">
    <w:name w:val="Balloon Text"/>
    <w:basedOn w:val="Normal"/>
    <w:link w:val="BalloonTextChar"/>
    <w:uiPriority w:val="99"/>
    <w:semiHidden/>
    <w:rsid w:val="00685421"/>
    <w:rPr>
      <w:rFonts w:ascii="Tahoma" w:hAnsi="Tahoma" w:cs="Tahoma"/>
      <w:sz w:val="16"/>
      <w:szCs w:val="16"/>
    </w:rPr>
  </w:style>
  <w:style w:type="character" w:customStyle="1" w:styleId="BalloonTextChar">
    <w:name w:val="Balloon Text Char"/>
    <w:basedOn w:val="DefaultParagraphFont"/>
    <w:link w:val="BalloonText"/>
    <w:uiPriority w:val="99"/>
    <w:semiHidden/>
    <w:rsid w:val="00C72E3D"/>
    <w:rPr>
      <w:sz w:val="0"/>
      <w:szCs w:val="0"/>
    </w:rPr>
  </w:style>
  <w:style w:type="paragraph" w:styleId="Footer">
    <w:name w:val="footer"/>
    <w:basedOn w:val="Normal"/>
    <w:link w:val="FooterChar"/>
    <w:uiPriority w:val="99"/>
    <w:unhideWhenUsed/>
    <w:rsid w:val="00227F5B"/>
    <w:pPr>
      <w:tabs>
        <w:tab w:val="center" w:pos="4680"/>
        <w:tab w:val="right" w:pos="9360"/>
      </w:tabs>
    </w:pPr>
  </w:style>
  <w:style w:type="character" w:customStyle="1" w:styleId="FooterChar">
    <w:name w:val="Footer Char"/>
    <w:basedOn w:val="DefaultParagraphFont"/>
    <w:link w:val="Footer"/>
    <w:uiPriority w:val="99"/>
    <w:rsid w:val="00227F5B"/>
  </w:style>
  <w:style w:type="character" w:styleId="SubtleEmphasis">
    <w:name w:val="Subtle Emphasis"/>
    <w:basedOn w:val="DefaultParagraphFont"/>
    <w:uiPriority w:val="19"/>
    <w:qFormat/>
    <w:rsid w:val="00C61E3A"/>
    <w:rPr>
      <w:i/>
      <w:iCs/>
      <w:color w:val="808080"/>
    </w:rPr>
  </w:style>
  <w:style w:type="paragraph" w:styleId="Date">
    <w:name w:val="Date"/>
    <w:basedOn w:val="Normal"/>
    <w:next w:val="Normal"/>
    <w:link w:val="DateChar"/>
    <w:rsid w:val="001D1F93"/>
    <w:pPr>
      <w:spacing w:before="480" w:after="480"/>
    </w:pPr>
    <w:rPr>
      <w:sz w:val="24"/>
      <w:szCs w:val="24"/>
      <w:lang w:val="en-CA"/>
    </w:rPr>
  </w:style>
  <w:style w:type="character" w:customStyle="1" w:styleId="DateChar">
    <w:name w:val="Date Char"/>
    <w:basedOn w:val="DefaultParagraphFont"/>
    <w:link w:val="Date"/>
    <w:rsid w:val="001D1F93"/>
    <w:rPr>
      <w:sz w:val="24"/>
      <w:szCs w:val="24"/>
      <w:lang w:eastAsia="en-US"/>
    </w:rPr>
  </w:style>
  <w:style w:type="paragraph" w:customStyle="1" w:styleId="RecipientAddress">
    <w:name w:val="Recipient Address"/>
    <w:basedOn w:val="Normal"/>
    <w:rsid w:val="001D1F93"/>
    <w:rPr>
      <w:sz w:val="24"/>
      <w:szCs w:val="24"/>
      <w:lang w:val="en-CA"/>
    </w:rPr>
  </w:style>
  <w:style w:type="paragraph" w:styleId="Closing">
    <w:name w:val="Closing"/>
    <w:basedOn w:val="Normal"/>
    <w:link w:val="ClosingChar"/>
    <w:rsid w:val="001D1F93"/>
    <w:pPr>
      <w:spacing w:after="960"/>
    </w:pPr>
    <w:rPr>
      <w:sz w:val="24"/>
      <w:szCs w:val="24"/>
      <w:lang w:val="en-CA"/>
    </w:rPr>
  </w:style>
  <w:style w:type="character" w:customStyle="1" w:styleId="ClosingChar">
    <w:name w:val="Closing Char"/>
    <w:basedOn w:val="DefaultParagraphFont"/>
    <w:link w:val="Closing"/>
    <w:rsid w:val="001D1F93"/>
    <w:rPr>
      <w:sz w:val="24"/>
      <w:szCs w:val="24"/>
      <w:lang w:eastAsia="en-US"/>
    </w:rPr>
  </w:style>
  <w:style w:type="paragraph" w:styleId="Signature">
    <w:name w:val="Signature"/>
    <w:basedOn w:val="Normal"/>
    <w:link w:val="SignatureChar"/>
    <w:rsid w:val="001D1F93"/>
    <w:pPr>
      <w:spacing w:before="960" w:after="240"/>
    </w:pPr>
    <w:rPr>
      <w:sz w:val="24"/>
      <w:szCs w:val="24"/>
      <w:lang w:val="en-CA"/>
    </w:rPr>
  </w:style>
  <w:style w:type="character" w:customStyle="1" w:styleId="SignatureChar">
    <w:name w:val="Signature Char"/>
    <w:basedOn w:val="DefaultParagraphFont"/>
    <w:link w:val="Signature"/>
    <w:rsid w:val="001D1F93"/>
    <w:rPr>
      <w:sz w:val="24"/>
      <w:szCs w:val="24"/>
      <w:lang w:eastAsia="en-US"/>
    </w:rPr>
  </w:style>
  <w:style w:type="paragraph" w:customStyle="1" w:styleId="ccEnclosure">
    <w:name w:val="cc:/Enclosure"/>
    <w:basedOn w:val="Normal"/>
    <w:rsid w:val="001D1F93"/>
    <w:pPr>
      <w:tabs>
        <w:tab w:val="left" w:pos="1440"/>
      </w:tabs>
      <w:spacing w:after="240"/>
      <w:ind w:left="1440" w:hanging="1440"/>
    </w:pPr>
    <w:rPr>
      <w:sz w:val="24"/>
      <w:szCs w:val="24"/>
      <w:lang w:val="en-CA"/>
    </w:rPr>
  </w:style>
  <w:style w:type="paragraph" w:styleId="NoSpacing">
    <w:name w:val="No Spacing"/>
    <w:uiPriority w:val="1"/>
    <w:qFormat/>
    <w:rsid w:val="001D1F93"/>
    <w:rPr>
      <w:lang w:val="en-US" w:eastAsia="en-US"/>
    </w:rPr>
  </w:style>
  <w:style w:type="paragraph" w:customStyle="1" w:styleId="AttachmentText1">
    <w:name w:val="Attachment_Text_1"/>
    <w:basedOn w:val="Normal"/>
    <w:link w:val="AttachmentText1Char"/>
    <w:rsid w:val="004C4D69"/>
    <w:pPr>
      <w:tabs>
        <w:tab w:val="left" w:pos="720"/>
      </w:tabs>
      <w:autoSpaceDE w:val="0"/>
      <w:autoSpaceDN w:val="0"/>
      <w:adjustRightInd w:val="0"/>
      <w:ind w:left="720" w:hanging="720"/>
      <w:jc w:val="both"/>
    </w:pPr>
    <w:rPr>
      <w:rFonts w:ascii="Arial" w:hAnsi="Arial" w:cs="Arial"/>
      <w:lang w:val="en-CA"/>
    </w:rPr>
  </w:style>
  <w:style w:type="character" w:customStyle="1" w:styleId="AttachmentText1Char">
    <w:name w:val="Attachment_Text_1 Char"/>
    <w:basedOn w:val="DefaultParagraphFont"/>
    <w:link w:val="AttachmentText1"/>
    <w:rsid w:val="004C4D69"/>
    <w:rPr>
      <w:rFonts w:ascii="Arial" w:hAnsi="Arial" w:cs="Arial"/>
      <w:lang w:eastAsia="en-US"/>
    </w:rPr>
  </w:style>
  <w:style w:type="paragraph" w:styleId="ListParagraph">
    <w:name w:val="List Paragraph"/>
    <w:basedOn w:val="Normal"/>
    <w:uiPriority w:val="34"/>
    <w:qFormat/>
    <w:rsid w:val="002060A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52CC8"/>
    <w:pPr>
      <w:autoSpaceDE w:val="0"/>
      <w:autoSpaceDN w:val="0"/>
      <w:adjustRightInd w:val="0"/>
    </w:pPr>
    <w:rPr>
      <w:rFonts w:ascii="Arial" w:hAnsi="Arial" w:cs="Arial"/>
      <w:color w:val="000000"/>
      <w:sz w:val="24"/>
      <w:szCs w:val="24"/>
    </w:rPr>
  </w:style>
  <w:style w:type="paragraph" w:customStyle="1" w:styleId="AuditLetter">
    <w:name w:val="AuditLetter"/>
    <w:aliases w:val="aul"/>
    <w:basedOn w:val="Normal"/>
    <w:rsid w:val="00094956"/>
    <w:pPr>
      <w:overflowPunct w:val="0"/>
      <w:autoSpaceDE w:val="0"/>
      <w:autoSpaceDN w:val="0"/>
      <w:adjustRightInd w:val="0"/>
      <w:spacing w:before="240"/>
      <w:jc w:val="both"/>
      <w:textAlignment w:val="baseline"/>
    </w:pPr>
    <w:rPr>
      <w:rFonts w:ascii="Times" w:hAnsi="Times"/>
      <w:sz w:val="24"/>
    </w:rPr>
  </w:style>
  <w:style w:type="paragraph" w:customStyle="1" w:styleId="SnglspcdGroup">
    <w:name w:val="SnglspcdGroup"/>
    <w:aliases w:val="sg"/>
    <w:basedOn w:val="Normal"/>
    <w:rsid w:val="00094956"/>
    <w:pPr>
      <w:keepNext/>
      <w:overflowPunct w:val="0"/>
      <w:autoSpaceDE w:val="0"/>
      <w:autoSpaceDN w:val="0"/>
      <w:adjustRightInd w:val="0"/>
      <w:textAlignment w:val="baseline"/>
    </w:pPr>
    <w:rPr>
      <w:rFonts w:ascii="Times" w:hAnsi="Times"/>
      <w:sz w:val="24"/>
    </w:rPr>
  </w:style>
  <w:style w:type="paragraph" w:customStyle="1" w:styleId="Salutation1">
    <w:name w:val="Salutation1"/>
    <w:aliases w:val="st"/>
    <w:basedOn w:val="Normal"/>
    <w:rsid w:val="00094956"/>
    <w:pPr>
      <w:overflowPunct w:val="0"/>
      <w:autoSpaceDE w:val="0"/>
      <w:autoSpaceDN w:val="0"/>
      <w:adjustRightInd w:val="0"/>
      <w:spacing w:before="260" w:line="260" w:lineRule="atLeast"/>
      <w:textAlignment w:val="baseline"/>
    </w:pPr>
    <w:rPr>
      <w:sz w:val="22"/>
    </w:rPr>
  </w:style>
  <w:style w:type="character" w:styleId="UnresolvedMention">
    <w:name w:val="Unresolved Mention"/>
    <w:basedOn w:val="DefaultParagraphFont"/>
    <w:uiPriority w:val="99"/>
    <w:semiHidden/>
    <w:unhideWhenUsed/>
    <w:rsid w:val="00996813"/>
    <w:rPr>
      <w:color w:val="605E5C"/>
      <w:shd w:val="clear" w:color="auto" w:fill="E1DFDD"/>
    </w:rPr>
  </w:style>
  <w:style w:type="paragraph" w:customStyle="1" w:styleId="paragraph">
    <w:name w:val="paragraph"/>
    <w:basedOn w:val="Normal"/>
    <w:rsid w:val="00D45CB4"/>
    <w:pPr>
      <w:spacing w:before="100" w:beforeAutospacing="1" w:after="100" w:afterAutospacing="1"/>
    </w:pPr>
    <w:rPr>
      <w:sz w:val="24"/>
      <w:szCs w:val="24"/>
      <w:lang w:val="en-CA" w:eastAsia="en-CA"/>
    </w:rPr>
  </w:style>
  <w:style w:type="character" w:customStyle="1" w:styleId="normaltextrun">
    <w:name w:val="normaltextrun"/>
    <w:basedOn w:val="DefaultParagraphFont"/>
    <w:rsid w:val="00D45CB4"/>
  </w:style>
  <w:style w:type="character" w:customStyle="1" w:styleId="eop">
    <w:name w:val="eop"/>
    <w:basedOn w:val="DefaultParagraphFont"/>
    <w:rsid w:val="00D45CB4"/>
  </w:style>
  <w:style w:type="paragraph" w:customStyle="1" w:styleId="FootnoteText1">
    <w:name w:val="Footnote Text1"/>
    <w:basedOn w:val="Normal"/>
    <w:next w:val="FootnoteText"/>
    <w:link w:val="FootnoteTextChar"/>
    <w:uiPriority w:val="99"/>
    <w:semiHidden/>
    <w:unhideWhenUsed/>
    <w:rsid w:val="00D86B71"/>
    <w:rPr>
      <w:lang w:val="en-CA" w:eastAsia="en-CA"/>
    </w:rPr>
  </w:style>
  <w:style w:type="character" w:customStyle="1" w:styleId="FootnoteTextChar">
    <w:name w:val="Footnote Text Char"/>
    <w:basedOn w:val="DefaultParagraphFont"/>
    <w:link w:val="FootnoteText1"/>
    <w:uiPriority w:val="99"/>
    <w:semiHidden/>
    <w:rsid w:val="00D86B71"/>
    <w:rPr>
      <w:sz w:val="20"/>
      <w:szCs w:val="20"/>
    </w:rPr>
  </w:style>
  <w:style w:type="character" w:styleId="FootnoteReference">
    <w:name w:val="footnote reference"/>
    <w:basedOn w:val="DefaultParagraphFont"/>
    <w:uiPriority w:val="99"/>
    <w:semiHidden/>
    <w:unhideWhenUsed/>
    <w:rsid w:val="00D86B71"/>
    <w:rPr>
      <w:vertAlign w:val="superscript"/>
    </w:rPr>
  </w:style>
  <w:style w:type="paragraph" w:styleId="FootnoteText">
    <w:name w:val="footnote text"/>
    <w:basedOn w:val="Normal"/>
    <w:link w:val="FootnoteTextChar1"/>
    <w:uiPriority w:val="99"/>
    <w:semiHidden/>
    <w:unhideWhenUsed/>
    <w:rsid w:val="00D86B71"/>
  </w:style>
  <w:style w:type="character" w:customStyle="1" w:styleId="FootnoteTextChar1">
    <w:name w:val="Footnote Text Char1"/>
    <w:basedOn w:val="DefaultParagraphFont"/>
    <w:link w:val="FootnoteText"/>
    <w:uiPriority w:val="99"/>
    <w:semiHidden/>
    <w:rsid w:val="00D86B7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7917">
      <w:marLeft w:val="0"/>
      <w:marRight w:val="0"/>
      <w:marTop w:val="0"/>
      <w:marBottom w:val="0"/>
      <w:divBdr>
        <w:top w:val="none" w:sz="0" w:space="0" w:color="auto"/>
        <w:left w:val="none" w:sz="0" w:space="0" w:color="auto"/>
        <w:bottom w:val="none" w:sz="0" w:space="0" w:color="auto"/>
        <w:right w:val="none" w:sz="0" w:space="0" w:color="auto"/>
      </w:divBdr>
    </w:div>
    <w:div w:id="229967920">
      <w:marLeft w:val="0"/>
      <w:marRight w:val="0"/>
      <w:marTop w:val="0"/>
      <w:marBottom w:val="0"/>
      <w:divBdr>
        <w:top w:val="none" w:sz="0" w:space="0" w:color="auto"/>
        <w:left w:val="none" w:sz="0" w:space="0" w:color="auto"/>
        <w:bottom w:val="none" w:sz="0" w:space="0" w:color="auto"/>
        <w:right w:val="none" w:sz="0" w:space="0" w:color="auto"/>
      </w:divBdr>
      <w:divsChild>
        <w:div w:id="229967918">
          <w:marLeft w:val="0"/>
          <w:marRight w:val="0"/>
          <w:marTop w:val="0"/>
          <w:marBottom w:val="0"/>
          <w:divBdr>
            <w:top w:val="none" w:sz="0" w:space="0" w:color="auto"/>
            <w:left w:val="none" w:sz="0" w:space="0" w:color="auto"/>
            <w:bottom w:val="none" w:sz="0" w:space="0" w:color="auto"/>
            <w:right w:val="none" w:sz="0" w:space="0" w:color="auto"/>
          </w:divBdr>
        </w:div>
        <w:div w:id="229967921">
          <w:marLeft w:val="0"/>
          <w:marRight w:val="0"/>
          <w:marTop w:val="0"/>
          <w:marBottom w:val="0"/>
          <w:divBdr>
            <w:top w:val="none" w:sz="0" w:space="0" w:color="auto"/>
            <w:left w:val="none" w:sz="0" w:space="0" w:color="auto"/>
            <w:bottom w:val="none" w:sz="0" w:space="0" w:color="auto"/>
            <w:right w:val="none" w:sz="0" w:space="0" w:color="auto"/>
          </w:divBdr>
        </w:div>
        <w:div w:id="229967922">
          <w:marLeft w:val="0"/>
          <w:marRight w:val="0"/>
          <w:marTop w:val="0"/>
          <w:marBottom w:val="0"/>
          <w:divBdr>
            <w:top w:val="none" w:sz="0" w:space="0" w:color="auto"/>
            <w:left w:val="none" w:sz="0" w:space="0" w:color="auto"/>
            <w:bottom w:val="none" w:sz="0" w:space="0" w:color="auto"/>
            <w:right w:val="none" w:sz="0" w:space="0" w:color="auto"/>
          </w:divBdr>
          <w:divsChild>
            <w:div w:id="229967923">
              <w:marLeft w:val="720"/>
              <w:marRight w:val="720"/>
              <w:marTop w:val="100"/>
              <w:marBottom w:val="100"/>
              <w:divBdr>
                <w:top w:val="none" w:sz="0" w:space="0" w:color="auto"/>
                <w:left w:val="none" w:sz="0" w:space="0" w:color="auto"/>
                <w:bottom w:val="none" w:sz="0" w:space="0" w:color="auto"/>
                <w:right w:val="none" w:sz="0" w:space="0" w:color="auto"/>
              </w:divBdr>
              <w:divsChild>
                <w:div w:id="2299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990">
      <w:bodyDiv w:val="1"/>
      <w:marLeft w:val="0"/>
      <w:marRight w:val="0"/>
      <w:marTop w:val="0"/>
      <w:marBottom w:val="0"/>
      <w:divBdr>
        <w:top w:val="none" w:sz="0" w:space="0" w:color="auto"/>
        <w:left w:val="none" w:sz="0" w:space="0" w:color="auto"/>
        <w:bottom w:val="none" w:sz="0" w:space="0" w:color="auto"/>
        <w:right w:val="none" w:sz="0" w:space="0" w:color="auto"/>
      </w:divBdr>
      <w:divsChild>
        <w:div w:id="1484811054">
          <w:marLeft w:val="0"/>
          <w:marRight w:val="0"/>
          <w:marTop w:val="0"/>
          <w:marBottom w:val="0"/>
          <w:divBdr>
            <w:top w:val="none" w:sz="0" w:space="0" w:color="auto"/>
            <w:left w:val="none" w:sz="0" w:space="0" w:color="auto"/>
            <w:bottom w:val="none" w:sz="0" w:space="0" w:color="auto"/>
            <w:right w:val="none" w:sz="0" w:space="0" w:color="auto"/>
          </w:divBdr>
        </w:div>
        <w:div w:id="1544711046">
          <w:marLeft w:val="0"/>
          <w:marRight w:val="0"/>
          <w:marTop w:val="0"/>
          <w:marBottom w:val="0"/>
          <w:divBdr>
            <w:top w:val="none" w:sz="0" w:space="0" w:color="auto"/>
            <w:left w:val="none" w:sz="0" w:space="0" w:color="auto"/>
            <w:bottom w:val="none" w:sz="0" w:space="0" w:color="auto"/>
            <w:right w:val="none" w:sz="0" w:space="0" w:color="auto"/>
          </w:divBdr>
        </w:div>
        <w:div w:id="699283893">
          <w:marLeft w:val="0"/>
          <w:marRight w:val="0"/>
          <w:marTop w:val="0"/>
          <w:marBottom w:val="0"/>
          <w:divBdr>
            <w:top w:val="none" w:sz="0" w:space="0" w:color="auto"/>
            <w:left w:val="none" w:sz="0" w:space="0" w:color="auto"/>
            <w:bottom w:val="none" w:sz="0" w:space="0" w:color="auto"/>
            <w:right w:val="none" w:sz="0" w:space="0" w:color="auto"/>
          </w:divBdr>
        </w:div>
        <w:div w:id="1790197888">
          <w:marLeft w:val="0"/>
          <w:marRight w:val="0"/>
          <w:marTop w:val="0"/>
          <w:marBottom w:val="0"/>
          <w:divBdr>
            <w:top w:val="none" w:sz="0" w:space="0" w:color="auto"/>
            <w:left w:val="none" w:sz="0" w:space="0" w:color="auto"/>
            <w:bottom w:val="none" w:sz="0" w:space="0" w:color="auto"/>
            <w:right w:val="none" w:sz="0" w:space="0" w:color="auto"/>
          </w:divBdr>
        </w:div>
        <w:div w:id="157379666">
          <w:marLeft w:val="0"/>
          <w:marRight w:val="0"/>
          <w:marTop w:val="0"/>
          <w:marBottom w:val="0"/>
          <w:divBdr>
            <w:top w:val="none" w:sz="0" w:space="0" w:color="auto"/>
            <w:left w:val="none" w:sz="0" w:space="0" w:color="auto"/>
            <w:bottom w:val="none" w:sz="0" w:space="0" w:color="auto"/>
            <w:right w:val="none" w:sz="0" w:space="0" w:color="auto"/>
          </w:divBdr>
        </w:div>
        <w:div w:id="740982361">
          <w:marLeft w:val="0"/>
          <w:marRight w:val="0"/>
          <w:marTop w:val="0"/>
          <w:marBottom w:val="0"/>
          <w:divBdr>
            <w:top w:val="none" w:sz="0" w:space="0" w:color="auto"/>
            <w:left w:val="none" w:sz="0" w:space="0" w:color="auto"/>
            <w:bottom w:val="none" w:sz="0" w:space="0" w:color="auto"/>
            <w:right w:val="none" w:sz="0" w:space="0" w:color="auto"/>
          </w:divBdr>
        </w:div>
        <w:div w:id="1132795139">
          <w:marLeft w:val="0"/>
          <w:marRight w:val="0"/>
          <w:marTop w:val="0"/>
          <w:marBottom w:val="0"/>
          <w:divBdr>
            <w:top w:val="none" w:sz="0" w:space="0" w:color="auto"/>
            <w:left w:val="none" w:sz="0" w:space="0" w:color="auto"/>
            <w:bottom w:val="none" w:sz="0" w:space="0" w:color="auto"/>
            <w:right w:val="none" w:sz="0" w:space="0" w:color="auto"/>
          </w:divBdr>
        </w:div>
        <w:div w:id="599413674">
          <w:marLeft w:val="0"/>
          <w:marRight w:val="0"/>
          <w:marTop w:val="0"/>
          <w:marBottom w:val="0"/>
          <w:divBdr>
            <w:top w:val="none" w:sz="0" w:space="0" w:color="auto"/>
            <w:left w:val="none" w:sz="0" w:space="0" w:color="auto"/>
            <w:bottom w:val="none" w:sz="0" w:space="0" w:color="auto"/>
            <w:right w:val="none" w:sz="0" w:space="0" w:color="auto"/>
          </w:divBdr>
        </w:div>
        <w:div w:id="1044912469">
          <w:marLeft w:val="0"/>
          <w:marRight w:val="0"/>
          <w:marTop w:val="0"/>
          <w:marBottom w:val="0"/>
          <w:divBdr>
            <w:top w:val="none" w:sz="0" w:space="0" w:color="auto"/>
            <w:left w:val="none" w:sz="0" w:space="0" w:color="auto"/>
            <w:bottom w:val="none" w:sz="0" w:space="0" w:color="auto"/>
            <w:right w:val="none" w:sz="0" w:space="0" w:color="auto"/>
          </w:divBdr>
        </w:div>
        <w:div w:id="1414156182">
          <w:marLeft w:val="0"/>
          <w:marRight w:val="0"/>
          <w:marTop w:val="0"/>
          <w:marBottom w:val="0"/>
          <w:divBdr>
            <w:top w:val="none" w:sz="0" w:space="0" w:color="auto"/>
            <w:left w:val="none" w:sz="0" w:space="0" w:color="auto"/>
            <w:bottom w:val="none" w:sz="0" w:space="0" w:color="auto"/>
            <w:right w:val="none" w:sz="0" w:space="0" w:color="auto"/>
          </w:divBdr>
        </w:div>
        <w:div w:id="1321422635">
          <w:marLeft w:val="0"/>
          <w:marRight w:val="0"/>
          <w:marTop w:val="0"/>
          <w:marBottom w:val="0"/>
          <w:divBdr>
            <w:top w:val="none" w:sz="0" w:space="0" w:color="auto"/>
            <w:left w:val="none" w:sz="0" w:space="0" w:color="auto"/>
            <w:bottom w:val="none" w:sz="0" w:space="0" w:color="auto"/>
            <w:right w:val="none" w:sz="0" w:space="0" w:color="auto"/>
          </w:divBdr>
        </w:div>
        <w:div w:id="1085036295">
          <w:marLeft w:val="0"/>
          <w:marRight w:val="0"/>
          <w:marTop w:val="0"/>
          <w:marBottom w:val="0"/>
          <w:divBdr>
            <w:top w:val="none" w:sz="0" w:space="0" w:color="auto"/>
            <w:left w:val="none" w:sz="0" w:space="0" w:color="auto"/>
            <w:bottom w:val="none" w:sz="0" w:space="0" w:color="auto"/>
            <w:right w:val="none" w:sz="0" w:space="0" w:color="auto"/>
          </w:divBdr>
        </w:div>
        <w:div w:id="110206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6403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Graduate Students' Association</Company>
  <LinksUpToDate>false</LinksUpToDate>
  <CharactersWithSpaces>7439</CharactersWithSpaces>
  <SharedDoc>false</SharedDoc>
  <HLinks>
    <vt:vector size="6" baseType="variant">
      <vt:variant>
        <vt:i4>2752578</vt:i4>
      </vt:variant>
      <vt:variant>
        <vt:i4>0</vt:i4>
      </vt:variant>
      <vt:variant>
        <vt:i4>0</vt:i4>
      </vt:variant>
      <vt:variant>
        <vt:i4>5</vt:i4>
      </vt:variant>
      <vt:variant>
        <vt:lpwstr>gsavpa@ucalgary.ca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Officer</dc:creator>
  <cp:lastModifiedBy>Andrew Kemle</cp:lastModifiedBy>
  <cp:revision>3</cp:revision>
  <cp:lastPrinted>2019-08-01T21:36:00Z</cp:lastPrinted>
  <dcterms:created xsi:type="dcterms:W3CDTF">2025-03-20T18:01:00Z</dcterms:created>
  <dcterms:modified xsi:type="dcterms:W3CDTF">2025-03-20T18:02:00Z</dcterms:modified>
</cp:coreProperties>
</file>