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CF8C" w14:textId="77777777" w:rsidR="008C38A5" w:rsidRDefault="008C38A5" w:rsidP="00DE4773">
      <w:pPr>
        <w:pStyle w:val="NormalWeb"/>
        <w:spacing w:before="0" w:beforeAutospacing="0" w:after="0" w:afterAutospacing="0"/>
        <w:jc w:val="center"/>
      </w:pPr>
      <w:r>
        <w:t>GSA Professional Development Grant</w:t>
      </w:r>
      <w:r>
        <w:br/>
        <w:t>2025 – 2026 Academic Year</w:t>
      </w:r>
      <w:r>
        <w:br/>
      </w:r>
      <w:r w:rsidRPr="008C38A5">
        <w:rPr>
          <w:b/>
          <w:bCs/>
        </w:rPr>
        <w:t>Intake Period: November 15 – November 21, 2025</w:t>
      </w:r>
      <w:r w:rsidRPr="008C38A5">
        <w:rPr>
          <w:b/>
          <w:bCs/>
        </w:rPr>
        <w:br/>
      </w:r>
      <w:r>
        <w:t>Intake Deadline: Friday, November 21, 2025, 11:59 PM MT</w:t>
      </w:r>
    </w:p>
    <w:p w14:paraId="508E0187" w14:textId="77777777" w:rsidR="00DE4773" w:rsidRDefault="00DE4773" w:rsidP="00DE4773">
      <w:pPr>
        <w:pStyle w:val="NormalWeb"/>
        <w:spacing w:before="0" w:beforeAutospacing="0" w:after="0" w:afterAutospacing="0"/>
        <w:rPr>
          <w:highlight w:val="yellow"/>
        </w:rPr>
      </w:pPr>
    </w:p>
    <w:p w14:paraId="28E6858E" w14:textId="711F15A3" w:rsidR="008C38A5" w:rsidRDefault="008C38A5" w:rsidP="00DE4773">
      <w:pPr>
        <w:pStyle w:val="NormalWeb"/>
        <w:spacing w:before="0" w:beforeAutospacing="0" w:after="0" w:afterAutospacing="0"/>
      </w:pPr>
      <w:r w:rsidRPr="007F3D1D">
        <w:rPr>
          <w:highlight w:val="yellow"/>
        </w:rPr>
        <w:t>Submit applications online</w:t>
      </w:r>
    </w:p>
    <w:p w14:paraId="378B9890" w14:textId="77777777" w:rsidR="00DE4773" w:rsidRDefault="00DE4773" w:rsidP="00DE4773">
      <w:pPr>
        <w:pStyle w:val="NormalWeb"/>
        <w:spacing w:before="0" w:beforeAutospacing="0" w:after="0" w:afterAutospacing="0"/>
      </w:pPr>
    </w:p>
    <w:p w14:paraId="42203F42" w14:textId="72DD86DC" w:rsidR="008C38A5" w:rsidRDefault="008C38A5" w:rsidP="00DE4773">
      <w:pPr>
        <w:pStyle w:val="NormalWeb"/>
        <w:spacing w:before="0" w:beforeAutospacing="0" w:after="0" w:afterAutospacing="0"/>
      </w:pPr>
      <w:r>
        <w:t>Applications and/or letters of reference received outside of the intake period will NOT be evaluated. Late applications will NOT be evaluated. Incomplete applications (unanswered questions or additional information) will NOT be evaluated. It is the sole responsibility of the applicant to ensure completeness of the application.</w:t>
      </w:r>
    </w:p>
    <w:p w14:paraId="2636BDCA" w14:textId="77777777" w:rsidR="00DE4773" w:rsidRDefault="00DE4773" w:rsidP="00DE4773">
      <w:pPr>
        <w:pStyle w:val="NormalWeb"/>
        <w:spacing w:before="0" w:beforeAutospacing="0" w:after="0" w:afterAutospacing="0"/>
      </w:pPr>
    </w:p>
    <w:p w14:paraId="16E441FF" w14:textId="0168A2B5" w:rsidR="008C38A5" w:rsidRDefault="008C38A5" w:rsidP="00DE4773">
      <w:pPr>
        <w:pStyle w:val="NormalWeb"/>
        <w:spacing w:before="0" w:beforeAutospacing="0" w:after="0" w:afterAutospacing="0"/>
      </w:pPr>
      <w:r>
        <w:t>This document and application link are available on the GSA’s website.</w:t>
      </w:r>
    </w:p>
    <w:p w14:paraId="4D759489" w14:textId="77777777" w:rsidR="00DE4773" w:rsidRDefault="00DE4773" w:rsidP="00DE4773">
      <w:pPr>
        <w:pStyle w:val="NormalWeb"/>
        <w:spacing w:before="0" w:beforeAutospacing="0" w:after="0" w:afterAutospacing="0"/>
      </w:pPr>
    </w:p>
    <w:p w14:paraId="1D2FDA98" w14:textId="1D1BC587" w:rsidR="008C38A5" w:rsidRDefault="008C38A5" w:rsidP="00DE4773">
      <w:pPr>
        <w:pStyle w:val="NormalWeb"/>
        <w:spacing w:before="0" w:beforeAutospacing="0" w:after="0" w:afterAutospacing="0"/>
      </w:pPr>
      <w:r>
        <w:t>Questions regarding this application should be directed to the GSA Awards Committee Chair or Vice Chair at awards.gsa@ucalgary.ca</w:t>
      </w:r>
    </w:p>
    <w:p w14:paraId="779CE3AA" w14:textId="77777777" w:rsidR="00DE4773" w:rsidRDefault="00DE4773" w:rsidP="00DE4773">
      <w:pPr>
        <w:pStyle w:val="NormalWeb"/>
        <w:spacing w:before="0" w:beforeAutospacing="0" w:after="0" w:afterAutospacing="0"/>
      </w:pPr>
    </w:p>
    <w:p w14:paraId="4FE1BD8D" w14:textId="32D02EB7" w:rsidR="008C38A5" w:rsidRDefault="008C38A5" w:rsidP="00DE4773">
      <w:pPr>
        <w:pStyle w:val="NormalWeb"/>
        <w:spacing w:before="0" w:beforeAutospacing="0" w:after="0" w:afterAutospacing="0"/>
      </w:pPr>
      <w:r>
        <w:t xml:space="preserve">This information is collected following the standards set by the </w:t>
      </w:r>
      <w:r>
        <w:rPr>
          <w:rStyle w:val="Strong"/>
          <w:rFonts w:eastAsiaTheme="majorEastAsia"/>
        </w:rPr>
        <w:t>Personal Information Protection Act (PIPA)</w:t>
      </w:r>
      <w:r>
        <w:t>. It is required to determine your eligibility for the award and may be used for research and statistical analysis. If you have any questions about the collection or use of this information, please contact the Awards Committee Chair at awards.gsa@ucalgary.ca.</w:t>
      </w:r>
    </w:p>
    <w:p w14:paraId="490F1D4E" w14:textId="77777777" w:rsidR="00DE4773" w:rsidRDefault="00DE4773" w:rsidP="00DE4773">
      <w:pPr>
        <w:pStyle w:val="NormalWeb"/>
        <w:spacing w:before="0" w:beforeAutospacing="0" w:after="0" w:afterAutospacing="0"/>
        <w:rPr>
          <w:b/>
          <w:bCs/>
        </w:rPr>
      </w:pPr>
    </w:p>
    <w:p w14:paraId="2231BD3D" w14:textId="58D6F202" w:rsidR="008C38A5" w:rsidRDefault="008C38A5" w:rsidP="00DE4773">
      <w:pPr>
        <w:pStyle w:val="NormalWeb"/>
        <w:spacing w:before="0" w:beforeAutospacing="0" w:after="0" w:afterAutospacing="0"/>
      </w:pPr>
      <w:r w:rsidRPr="0084530D">
        <w:rPr>
          <w:b/>
          <w:bCs/>
        </w:rPr>
        <w:t>Purpose</w:t>
      </w:r>
      <w:r>
        <w:br/>
        <w:t>Professional Development Grants (PDGs), funded by the Graduate Students’ Association (GSA) at the University of Calgary, support academic pursuits that are not directly tied to degree requirements but contribute to graduate students’ academic careers and enrich the intellectual life of the UCalgary community.</w:t>
      </w:r>
    </w:p>
    <w:p w14:paraId="3DD4ED22" w14:textId="77777777" w:rsidR="00DE4773" w:rsidRDefault="00DE4773" w:rsidP="00DE4773">
      <w:pPr>
        <w:pStyle w:val="NormalWeb"/>
        <w:spacing w:before="0" w:beforeAutospacing="0" w:after="0" w:afterAutospacing="0"/>
        <w:rPr>
          <w:b/>
          <w:bCs/>
        </w:rPr>
      </w:pPr>
    </w:p>
    <w:p w14:paraId="6935A007" w14:textId="63E4065C" w:rsidR="008C38A5" w:rsidRDefault="008C38A5" w:rsidP="00DE4773">
      <w:pPr>
        <w:pStyle w:val="NormalWeb"/>
        <w:spacing w:before="0" w:beforeAutospacing="0" w:after="0" w:afterAutospacing="0"/>
      </w:pPr>
      <w:r w:rsidRPr="0084530D">
        <w:rPr>
          <w:b/>
          <w:bCs/>
        </w:rPr>
        <w:t>Value</w:t>
      </w:r>
      <w:r>
        <w:br/>
        <w:t>Up to $750 CDN per approved application. Applicants cannot receive more than paid cost of Professional Development activity.</w:t>
      </w:r>
    </w:p>
    <w:p w14:paraId="2EBA30CF" w14:textId="77777777" w:rsidR="00DE4773" w:rsidRDefault="00DE4773" w:rsidP="00DE4773">
      <w:pPr>
        <w:pStyle w:val="NormalWeb"/>
        <w:spacing w:before="0" w:beforeAutospacing="0" w:after="0" w:afterAutospacing="0"/>
        <w:rPr>
          <w:b/>
          <w:bCs/>
        </w:rPr>
      </w:pPr>
    </w:p>
    <w:p w14:paraId="494928B3" w14:textId="2C9A18E7" w:rsidR="008C38A5" w:rsidRDefault="008C38A5" w:rsidP="00DE4773">
      <w:pPr>
        <w:pStyle w:val="NormalWeb"/>
        <w:spacing w:before="0" w:beforeAutospacing="0" w:after="0" w:afterAutospacing="0"/>
      </w:pPr>
      <w:r w:rsidRPr="0084530D">
        <w:rPr>
          <w:b/>
          <w:bCs/>
        </w:rPr>
        <w:t>Eligibility</w:t>
      </w:r>
      <w:r>
        <w:br/>
        <w:t>To be eligible for this grant:</w:t>
      </w:r>
    </w:p>
    <w:p w14:paraId="16AB340C" w14:textId="77777777" w:rsidR="008C38A5" w:rsidRDefault="008C38A5" w:rsidP="00DE4773">
      <w:pPr>
        <w:pStyle w:val="NormalWeb"/>
        <w:numPr>
          <w:ilvl w:val="0"/>
          <w:numId w:val="1"/>
        </w:numPr>
        <w:spacing w:before="0" w:beforeAutospacing="0" w:after="0" w:afterAutospacing="0"/>
      </w:pPr>
      <w:r>
        <w:t>Be an Active Member of the GSA (currently enrolled graduate student at the University of Calgary) during the academic year of application.</w:t>
      </w:r>
    </w:p>
    <w:p w14:paraId="40F85BBE" w14:textId="77777777" w:rsidR="008C38A5" w:rsidRDefault="008C38A5" w:rsidP="00DE4773">
      <w:pPr>
        <w:pStyle w:val="NormalWeb"/>
        <w:numPr>
          <w:ilvl w:val="0"/>
          <w:numId w:val="1"/>
        </w:numPr>
        <w:spacing w:before="0" w:beforeAutospacing="0" w:after="0" w:afterAutospacing="0"/>
      </w:pPr>
      <w:r>
        <w:t>The applicant shall not have previously received a PDG within the same academic year as the current application.</w:t>
      </w:r>
    </w:p>
    <w:p w14:paraId="12E46862" w14:textId="77777777" w:rsidR="008C38A5" w:rsidRDefault="008C38A5" w:rsidP="00DE4773">
      <w:pPr>
        <w:pStyle w:val="NormalWeb"/>
        <w:numPr>
          <w:ilvl w:val="0"/>
          <w:numId w:val="1"/>
        </w:numPr>
        <w:spacing w:before="0" w:beforeAutospacing="0" w:after="0" w:afterAutospacing="0"/>
      </w:pPr>
      <w:r>
        <w:t>The applicant shall not have previously received a PDG for the same professional development activity.</w:t>
      </w:r>
    </w:p>
    <w:p w14:paraId="5F8541B4" w14:textId="77777777" w:rsidR="008C38A5" w:rsidRDefault="008C38A5" w:rsidP="00DE4773">
      <w:pPr>
        <w:pStyle w:val="NormalWeb"/>
        <w:numPr>
          <w:ilvl w:val="0"/>
          <w:numId w:val="1"/>
        </w:numPr>
        <w:spacing w:before="0" w:beforeAutospacing="0" w:after="0" w:afterAutospacing="0"/>
      </w:pPr>
      <w:r>
        <w:lastRenderedPageBreak/>
        <w:t>The professional development activity must have been completed before the intake deadline. Applications for activities taking place after the intake deadline will not be considered.</w:t>
      </w:r>
    </w:p>
    <w:p w14:paraId="163688E2" w14:textId="77777777" w:rsidR="008C38A5" w:rsidRDefault="008C38A5" w:rsidP="00DE4773">
      <w:pPr>
        <w:pStyle w:val="NormalWeb"/>
        <w:numPr>
          <w:ilvl w:val="0"/>
          <w:numId w:val="1"/>
        </w:numPr>
        <w:spacing w:before="0" w:beforeAutospacing="0" w:after="0" w:afterAutospacing="0"/>
      </w:pPr>
      <w:r>
        <w:t>Each application shall pertain to one professional development activity.</w:t>
      </w:r>
    </w:p>
    <w:p w14:paraId="6EDE10A9" w14:textId="77777777" w:rsidR="00DE4773" w:rsidRDefault="00DE4773" w:rsidP="00DE4773">
      <w:pPr>
        <w:pStyle w:val="NormalWeb"/>
        <w:spacing w:before="0" w:beforeAutospacing="0" w:after="0" w:afterAutospacing="0"/>
        <w:rPr>
          <w:b/>
          <w:bCs/>
        </w:rPr>
      </w:pPr>
    </w:p>
    <w:p w14:paraId="31CE6B3F" w14:textId="77777777" w:rsidR="00DE4773" w:rsidRDefault="008C38A5" w:rsidP="00DE4773">
      <w:pPr>
        <w:pStyle w:val="NormalWeb"/>
        <w:spacing w:before="0" w:beforeAutospacing="0" w:after="0" w:afterAutospacing="0"/>
      </w:pPr>
      <w:r w:rsidRPr="0084530D">
        <w:rPr>
          <w:b/>
          <w:bCs/>
        </w:rPr>
        <w:t>Eligible Professional Development Activities</w:t>
      </w:r>
      <w:r>
        <w:br/>
        <w:t xml:space="preserve">The following list provides examples of professional development activities that may be eligible for funding under the Professional Development Grant (PDG). This list is illustrative and not exhaustive. </w:t>
      </w:r>
    </w:p>
    <w:p w14:paraId="123E0510" w14:textId="77777777" w:rsidR="00DE4773" w:rsidRDefault="00DE4773" w:rsidP="00DE4773">
      <w:pPr>
        <w:pStyle w:val="NormalWeb"/>
        <w:spacing w:before="0" w:beforeAutospacing="0" w:after="0" w:afterAutospacing="0"/>
      </w:pPr>
    </w:p>
    <w:p w14:paraId="452E0E8F" w14:textId="56F50E9A" w:rsidR="008C38A5" w:rsidRDefault="008C38A5" w:rsidP="00DE4773">
      <w:pPr>
        <w:pStyle w:val="NormalWeb"/>
        <w:spacing w:before="0" w:beforeAutospacing="0" w:after="0" w:afterAutospacing="0"/>
      </w:pPr>
      <w:r>
        <w:t>Applicants are encouraged to contact the Awards Committee Chair at awards.gsa@ucalgary.ca to confirm the eligibility of specific activities prior to submission. Fundable professional development activities include (but are not limited to):</w:t>
      </w:r>
    </w:p>
    <w:p w14:paraId="177697C9" w14:textId="77777777" w:rsidR="00DE4773" w:rsidRDefault="008C38A5" w:rsidP="00DE4773">
      <w:pPr>
        <w:pStyle w:val="NormalWeb"/>
        <w:numPr>
          <w:ilvl w:val="0"/>
          <w:numId w:val="2"/>
        </w:numPr>
        <w:spacing w:before="0" w:beforeAutospacing="0" w:after="0" w:afterAutospacing="0"/>
      </w:pPr>
      <w:r>
        <w:t>Academic and Professional Events</w:t>
      </w:r>
    </w:p>
    <w:p w14:paraId="677BAD59" w14:textId="77777777" w:rsidR="00DE4773" w:rsidRDefault="008C38A5" w:rsidP="00DE4773">
      <w:pPr>
        <w:pStyle w:val="NormalWeb"/>
        <w:numPr>
          <w:ilvl w:val="0"/>
          <w:numId w:val="8"/>
        </w:numPr>
        <w:spacing w:before="0" w:beforeAutospacing="0" w:after="0" w:afterAutospacing="0"/>
      </w:pPr>
      <w:r>
        <w:t>Travel to present research at a specialized conference or invited talk.</w:t>
      </w:r>
    </w:p>
    <w:p w14:paraId="7D3C7C32" w14:textId="77777777" w:rsidR="00DE4773" w:rsidRDefault="008C38A5" w:rsidP="00DE4773">
      <w:pPr>
        <w:pStyle w:val="NormalWeb"/>
        <w:numPr>
          <w:ilvl w:val="0"/>
          <w:numId w:val="8"/>
        </w:numPr>
        <w:spacing w:before="0" w:beforeAutospacing="0" w:after="0" w:afterAutospacing="0"/>
      </w:pPr>
      <w:r>
        <w:t>Attendance at a workshop, seminar, or other academic event (including online events).</w:t>
      </w:r>
    </w:p>
    <w:p w14:paraId="12F1503B" w14:textId="546336DC" w:rsidR="008C38A5" w:rsidRDefault="008C38A5" w:rsidP="00DE4773">
      <w:pPr>
        <w:pStyle w:val="NormalWeb"/>
        <w:numPr>
          <w:ilvl w:val="0"/>
          <w:numId w:val="8"/>
        </w:numPr>
        <w:spacing w:before="0" w:beforeAutospacing="0" w:after="0" w:afterAutospacing="0"/>
      </w:pPr>
      <w:r>
        <w:t>Participation in academic competitions, performances, or similar scholarly forums.</w:t>
      </w:r>
    </w:p>
    <w:p w14:paraId="31873F5A" w14:textId="3109AD81" w:rsidR="00DE4773" w:rsidRDefault="008C38A5" w:rsidP="00DE4773">
      <w:pPr>
        <w:pStyle w:val="NormalWeb"/>
        <w:numPr>
          <w:ilvl w:val="0"/>
          <w:numId w:val="2"/>
        </w:numPr>
        <w:spacing w:before="0" w:beforeAutospacing="0" w:after="0" w:afterAutospacing="0"/>
      </w:pPr>
      <w:r>
        <w:t>Published a manuscript or book</w:t>
      </w:r>
    </w:p>
    <w:p w14:paraId="3F97CFDD" w14:textId="77777777" w:rsidR="00DE4773" w:rsidRDefault="008C38A5" w:rsidP="00DE4773">
      <w:pPr>
        <w:pStyle w:val="NormalWeb"/>
        <w:numPr>
          <w:ilvl w:val="0"/>
          <w:numId w:val="10"/>
        </w:numPr>
        <w:spacing w:before="0" w:beforeAutospacing="0" w:after="0" w:afterAutospacing="0"/>
      </w:pPr>
      <w:r>
        <w:t>Payment of journal submission or publishing fees.</w:t>
      </w:r>
    </w:p>
    <w:p w14:paraId="4E9F9776" w14:textId="021375B8" w:rsidR="008C38A5" w:rsidRDefault="008C38A5" w:rsidP="00DE4773">
      <w:pPr>
        <w:pStyle w:val="NormalWeb"/>
        <w:numPr>
          <w:ilvl w:val="0"/>
          <w:numId w:val="10"/>
        </w:numPr>
        <w:spacing w:before="0" w:beforeAutospacing="0" w:after="0" w:afterAutospacing="0"/>
      </w:pPr>
      <w:r>
        <w:t>Payment of book publishing or self-publishing fees related to scholarly work.</w:t>
      </w:r>
    </w:p>
    <w:p w14:paraId="4E427C36" w14:textId="40B431A4" w:rsidR="00DE4773" w:rsidRDefault="008C38A5" w:rsidP="00DE4773">
      <w:pPr>
        <w:pStyle w:val="NormalWeb"/>
        <w:numPr>
          <w:ilvl w:val="0"/>
          <w:numId w:val="2"/>
        </w:numPr>
        <w:spacing w:before="0" w:beforeAutospacing="0" w:after="0" w:afterAutospacing="0"/>
      </w:pPr>
      <w:r>
        <w:t>Professional and other skills development</w:t>
      </w:r>
    </w:p>
    <w:p w14:paraId="081FA54E" w14:textId="77777777" w:rsidR="00DE4773" w:rsidRDefault="008C38A5" w:rsidP="00DE4773">
      <w:pPr>
        <w:pStyle w:val="NormalWeb"/>
        <w:numPr>
          <w:ilvl w:val="0"/>
          <w:numId w:val="11"/>
        </w:numPr>
        <w:spacing w:before="0" w:beforeAutospacing="0" w:after="0" w:afterAutospacing="0"/>
      </w:pPr>
      <w:r>
        <w:t>Enrollment in a course, training, or certification program that enhances professional and/or academic development.</w:t>
      </w:r>
    </w:p>
    <w:p w14:paraId="5B827444" w14:textId="7D2ED148" w:rsidR="008C38A5" w:rsidRDefault="008C38A5" w:rsidP="00DE4773">
      <w:pPr>
        <w:pStyle w:val="NormalWeb"/>
        <w:numPr>
          <w:ilvl w:val="0"/>
          <w:numId w:val="11"/>
        </w:numPr>
        <w:spacing w:before="0" w:beforeAutospacing="0" w:after="0" w:afterAutospacing="0"/>
      </w:pPr>
      <w:r>
        <w:t>Where the activity overlaps with graduate degree or thesis requirements, applicants must explicitly demonstrate how the skills acquired extend beyond their program requirements and contribute to broader professional growth. For instance, if you conduct a data collection activity in a community for your thesis, you should be able to explain how that activity improves your professional skills.</w:t>
      </w:r>
    </w:p>
    <w:p w14:paraId="03F4F2D6" w14:textId="77777777" w:rsidR="00DE4773" w:rsidRDefault="00DE4773" w:rsidP="00DE4773">
      <w:pPr>
        <w:pStyle w:val="NormalWeb"/>
        <w:spacing w:before="0" w:beforeAutospacing="0" w:after="0" w:afterAutospacing="0"/>
        <w:rPr>
          <w:b/>
          <w:bCs/>
        </w:rPr>
      </w:pPr>
    </w:p>
    <w:p w14:paraId="36B32BD8" w14:textId="7054E57D" w:rsidR="008C38A5" w:rsidRDefault="008C38A5" w:rsidP="00DE4773">
      <w:pPr>
        <w:pStyle w:val="NormalWeb"/>
        <w:spacing w:before="0" w:beforeAutospacing="0" w:after="0" w:afterAutospacing="0"/>
      </w:pPr>
      <w:r w:rsidRPr="0084530D">
        <w:rPr>
          <w:b/>
          <w:bCs/>
        </w:rPr>
        <w:t>Activity Exclusions</w:t>
      </w:r>
      <w:r>
        <w:br/>
        <w:t>The Professional Development Grant (PDG) is not intended to fund the following activities or expenses:</w:t>
      </w:r>
    </w:p>
    <w:p w14:paraId="12A5E0D4" w14:textId="77777777" w:rsidR="008C38A5" w:rsidRDefault="008C38A5" w:rsidP="00DE4773">
      <w:pPr>
        <w:pStyle w:val="NormalWeb"/>
        <w:numPr>
          <w:ilvl w:val="0"/>
          <w:numId w:val="3"/>
        </w:numPr>
        <w:spacing w:before="0" w:beforeAutospacing="0" w:after="0" w:afterAutospacing="0"/>
      </w:pPr>
      <w:r>
        <w:t>Incomplete Activities: Activities that have not yet been completed at the time of application.</w:t>
      </w:r>
    </w:p>
    <w:p w14:paraId="00AED2F3" w14:textId="77777777" w:rsidR="008C38A5" w:rsidRDefault="008C38A5" w:rsidP="00DE4773">
      <w:pPr>
        <w:pStyle w:val="NormalWeb"/>
        <w:numPr>
          <w:ilvl w:val="0"/>
          <w:numId w:val="3"/>
        </w:numPr>
        <w:spacing w:before="0" w:beforeAutospacing="0" w:after="0" w:afterAutospacing="0"/>
      </w:pPr>
      <w:r>
        <w:t>Degree Requirements: Any activity or expense directly tied to fulfilling program or degree requirements, including (but not limited to) travel for data or sample collection, purchase of equipment, books, or supplies required for coursework or thesis projects.</w:t>
      </w:r>
    </w:p>
    <w:p w14:paraId="4DDF7504" w14:textId="77777777" w:rsidR="008C38A5" w:rsidRDefault="008C38A5" w:rsidP="00DE4773">
      <w:pPr>
        <w:pStyle w:val="NormalWeb"/>
        <w:numPr>
          <w:ilvl w:val="0"/>
          <w:numId w:val="3"/>
        </w:numPr>
        <w:spacing w:before="0" w:beforeAutospacing="0" w:after="0" w:afterAutospacing="0"/>
      </w:pPr>
      <w:r>
        <w:t>Research-Related Activities: Professional development activities undertaken in the capacity of a Research Assistant (RA), travel for data or sample collection, or meetings with research collaborators. Expenses related to the completion of research projects (e.g., supplies, field costs, or other research-related expenditures).</w:t>
      </w:r>
    </w:p>
    <w:p w14:paraId="1EC99212" w14:textId="77777777" w:rsidR="00DE4773" w:rsidRDefault="00DE4773" w:rsidP="00DE4773">
      <w:pPr>
        <w:pStyle w:val="NormalWeb"/>
        <w:spacing w:before="0" w:beforeAutospacing="0" w:after="0" w:afterAutospacing="0"/>
        <w:rPr>
          <w:b/>
          <w:bCs/>
        </w:rPr>
      </w:pPr>
    </w:p>
    <w:p w14:paraId="26C27981" w14:textId="77777777" w:rsidR="00DE4773" w:rsidRDefault="00DE4773" w:rsidP="00DE4773">
      <w:pPr>
        <w:pStyle w:val="NormalWeb"/>
        <w:spacing w:before="0" w:beforeAutospacing="0" w:after="0" w:afterAutospacing="0"/>
        <w:rPr>
          <w:b/>
          <w:bCs/>
        </w:rPr>
      </w:pPr>
    </w:p>
    <w:p w14:paraId="00490067" w14:textId="77777777" w:rsidR="00DE4773" w:rsidRDefault="00DE4773" w:rsidP="00DE4773">
      <w:pPr>
        <w:pStyle w:val="NormalWeb"/>
        <w:spacing w:before="0" w:beforeAutospacing="0" w:after="0" w:afterAutospacing="0"/>
        <w:rPr>
          <w:b/>
          <w:bCs/>
        </w:rPr>
      </w:pPr>
    </w:p>
    <w:p w14:paraId="3E6B8C62" w14:textId="77777777" w:rsidR="00DE4773" w:rsidRDefault="00DE4773" w:rsidP="00DE4773">
      <w:pPr>
        <w:pStyle w:val="NormalWeb"/>
        <w:spacing w:before="0" w:beforeAutospacing="0" w:after="0" w:afterAutospacing="0"/>
        <w:rPr>
          <w:b/>
          <w:bCs/>
        </w:rPr>
      </w:pPr>
    </w:p>
    <w:p w14:paraId="4FA8FE96" w14:textId="0BA119E8" w:rsidR="0084530D" w:rsidRDefault="008C38A5" w:rsidP="00DE4773">
      <w:pPr>
        <w:pStyle w:val="NormalWeb"/>
        <w:spacing w:before="0" w:beforeAutospacing="0" w:after="0" w:afterAutospacing="0"/>
      </w:pPr>
      <w:r w:rsidRPr="0084530D">
        <w:rPr>
          <w:b/>
          <w:bCs/>
        </w:rPr>
        <w:lastRenderedPageBreak/>
        <w:t>Eligible Expenses (Must be in Canadian dollars)</w:t>
      </w:r>
    </w:p>
    <w:p w14:paraId="39FED06C" w14:textId="19EF22FB" w:rsidR="00DE4773" w:rsidRDefault="008C38A5" w:rsidP="00DE4773">
      <w:pPr>
        <w:pStyle w:val="NormalWeb"/>
        <w:spacing w:before="0" w:beforeAutospacing="0" w:after="0" w:afterAutospacing="0"/>
      </w:pPr>
      <w:r w:rsidRPr="0084530D">
        <w:rPr>
          <w:b/>
          <w:bCs/>
        </w:rPr>
        <w:t>Expenses which may be covered by the PDG include, but are not limited to:</w:t>
      </w:r>
    </w:p>
    <w:p w14:paraId="22A0D775" w14:textId="77777777" w:rsidR="00DE4773" w:rsidRDefault="008C38A5" w:rsidP="00DE4773">
      <w:pPr>
        <w:pStyle w:val="NormalWeb"/>
        <w:numPr>
          <w:ilvl w:val="0"/>
          <w:numId w:val="13"/>
        </w:numPr>
        <w:spacing w:before="0" w:beforeAutospacing="0" w:after="0" w:afterAutospacing="0"/>
      </w:pPr>
      <w:r>
        <w:t>Activity registration and associated materials costs (workshop/course/conference fees, book purchase, etc.)</w:t>
      </w:r>
    </w:p>
    <w:p w14:paraId="0E375449" w14:textId="77777777" w:rsidR="00DE4773" w:rsidRDefault="008C38A5" w:rsidP="00DE4773">
      <w:pPr>
        <w:pStyle w:val="NormalWeb"/>
        <w:numPr>
          <w:ilvl w:val="0"/>
          <w:numId w:val="13"/>
        </w:numPr>
        <w:spacing w:before="0" w:beforeAutospacing="0" w:after="0" w:afterAutospacing="0"/>
      </w:pPr>
      <w:r>
        <w:t>Travel (airfare, bus/train/ride costs)</w:t>
      </w:r>
    </w:p>
    <w:p w14:paraId="62E434B1" w14:textId="77777777" w:rsidR="00DE4773" w:rsidRDefault="008C38A5" w:rsidP="00DE4773">
      <w:pPr>
        <w:pStyle w:val="NormalWeb"/>
        <w:numPr>
          <w:ilvl w:val="0"/>
          <w:numId w:val="13"/>
        </w:numPr>
        <w:spacing w:before="0" w:beforeAutospacing="0" w:after="0" w:afterAutospacing="0"/>
      </w:pPr>
      <w:r>
        <w:t>Visa fees</w:t>
      </w:r>
    </w:p>
    <w:p w14:paraId="1FB3E812" w14:textId="77777777" w:rsidR="00DE4773" w:rsidRDefault="008C38A5" w:rsidP="00DE4773">
      <w:pPr>
        <w:pStyle w:val="NormalWeb"/>
        <w:numPr>
          <w:ilvl w:val="0"/>
          <w:numId w:val="13"/>
        </w:numPr>
        <w:spacing w:before="0" w:beforeAutospacing="0" w:after="0" w:afterAutospacing="0"/>
      </w:pPr>
      <w:r>
        <w:t>Accommodation (up to $125 CAD per night)</w:t>
      </w:r>
    </w:p>
    <w:p w14:paraId="2AB49F98" w14:textId="77777777" w:rsidR="00DE4773" w:rsidRDefault="008C38A5" w:rsidP="00DE4773">
      <w:pPr>
        <w:pStyle w:val="NormalWeb"/>
        <w:numPr>
          <w:ilvl w:val="0"/>
          <w:numId w:val="13"/>
        </w:numPr>
        <w:spacing w:before="0" w:beforeAutospacing="0" w:after="0" w:afterAutospacing="0"/>
      </w:pPr>
      <w:r>
        <w:t>Meals (up to $65 CAD per day and must provide receipts)</w:t>
      </w:r>
    </w:p>
    <w:p w14:paraId="1098F1E6" w14:textId="0BADEEF3" w:rsidR="008C38A5" w:rsidRDefault="008C38A5" w:rsidP="00DE4773">
      <w:pPr>
        <w:pStyle w:val="NormalWeb"/>
        <w:numPr>
          <w:ilvl w:val="0"/>
          <w:numId w:val="13"/>
        </w:numPr>
        <w:spacing w:before="0" w:beforeAutospacing="0" w:after="0" w:afterAutospacing="0"/>
      </w:pPr>
      <w:r>
        <w:t>Publication fees</w:t>
      </w:r>
    </w:p>
    <w:p w14:paraId="68B6C4E5" w14:textId="77777777" w:rsidR="00DE4773" w:rsidRDefault="00DE4773" w:rsidP="00DE4773">
      <w:pPr>
        <w:pStyle w:val="NormalWeb"/>
        <w:spacing w:before="0" w:beforeAutospacing="0" w:after="0" w:afterAutospacing="0"/>
        <w:rPr>
          <w:b/>
          <w:bCs/>
        </w:rPr>
      </w:pPr>
    </w:p>
    <w:p w14:paraId="239225F1" w14:textId="3EF56F2C" w:rsidR="00DE4773" w:rsidRDefault="008C38A5" w:rsidP="00DE4773">
      <w:pPr>
        <w:pStyle w:val="NormalWeb"/>
        <w:spacing w:before="0" w:beforeAutospacing="0" w:after="0" w:afterAutospacing="0"/>
      </w:pPr>
      <w:r w:rsidRPr="0084530D">
        <w:rPr>
          <w:b/>
          <w:bCs/>
        </w:rPr>
        <w:t>Ineligible Expenses</w:t>
      </w:r>
      <w:r w:rsidR="0084530D" w:rsidRPr="0084530D">
        <w:rPr>
          <w:b/>
          <w:bCs/>
        </w:rPr>
        <w:t>:</w:t>
      </w:r>
      <w:r w:rsidR="0084530D">
        <w:t xml:space="preserve"> </w:t>
      </w:r>
      <w:r>
        <w:br/>
        <w:t xml:space="preserve">Expenses that will not be covered by the PDG </w:t>
      </w:r>
      <w:r w:rsidR="0084530D">
        <w:t>include but</w:t>
      </w:r>
      <w:r>
        <w:t xml:space="preserve"> are not limited to:</w:t>
      </w:r>
    </w:p>
    <w:p w14:paraId="56D7AADC" w14:textId="77777777" w:rsidR="00DE4773" w:rsidRDefault="008C38A5" w:rsidP="00DE4773">
      <w:pPr>
        <w:pStyle w:val="NormalWeb"/>
        <w:numPr>
          <w:ilvl w:val="0"/>
          <w:numId w:val="14"/>
        </w:numPr>
        <w:spacing w:before="0" w:beforeAutospacing="0" w:after="0" w:afterAutospacing="0"/>
      </w:pPr>
      <w:r>
        <w:t>Items without receipt</w:t>
      </w:r>
    </w:p>
    <w:p w14:paraId="07835547" w14:textId="77777777" w:rsidR="00DE4773" w:rsidRDefault="008C38A5" w:rsidP="00DE4773">
      <w:pPr>
        <w:pStyle w:val="NormalWeb"/>
        <w:numPr>
          <w:ilvl w:val="0"/>
          <w:numId w:val="14"/>
        </w:numPr>
        <w:spacing w:before="0" w:beforeAutospacing="0" w:after="0" w:afterAutospacing="0"/>
      </w:pPr>
      <w:r>
        <w:t>Course or certification fees if the student does not successfully pass the required examination.</w:t>
      </w:r>
    </w:p>
    <w:p w14:paraId="21DE4414" w14:textId="77777777" w:rsidR="00DE4773" w:rsidRDefault="008C38A5" w:rsidP="00DE4773">
      <w:pPr>
        <w:pStyle w:val="NormalWeb"/>
        <w:numPr>
          <w:ilvl w:val="0"/>
          <w:numId w:val="14"/>
        </w:numPr>
        <w:spacing w:before="0" w:beforeAutospacing="0" w:after="0" w:afterAutospacing="0"/>
      </w:pPr>
      <w:r>
        <w:t>Alcohol</w:t>
      </w:r>
    </w:p>
    <w:p w14:paraId="5684C285" w14:textId="4080A247" w:rsidR="008C38A5" w:rsidRDefault="008C38A5" w:rsidP="00DE4773">
      <w:pPr>
        <w:pStyle w:val="NormalWeb"/>
        <w:numPr>
          <w:ilvl w:val="0"/>
          <w:numId w:val="14"/>
        </w:numPr>
        <w:spacing w:before="0" w:beforeAutospacing="0" w:after="0" w:afterAutospacing="0"/>
      </w:pPr>
      <w:r>
        <w:t>Personal travel and accommodation, or activities beyond the proposed project period, including optional short courses.</w:t>
      </w:r>
    </w:p>
    <w:p w14:paraId="6358476E" w14:textId="77777777" w:rsidR="00DE4773" w:rsidRDefault="00DE4773" w:rsidP="00DE4773">
      <w:pPr>
        <w:pStyle w:val="NormalWeb"/>
        <w:spacing w:before="0" w:beforeAutospacing="0" w:after="0" w:afterAutospacing="0"/>
        <w:rPr>
          <w:b/>
          <w:bCs/>
        </w:rPr>
      </w:pPr>
    </w:p>
    <w:p w14:paraId="3E274A79" w14:textId="46AC8432" w:rsidR="008C38A5" w:rsidRDefault="008C38A5" w:rsidP="00DE4773">
      <w:pPr>
        <w:pStyle w:val="NormalWeb"/>
        <w:spacing w:before="0" w:beforeAutospacing="0" w:after="0" w:afterAutospacing="0"/>
      </w:pPr>
      <w:r w:rsidRPr="0084530D">
        <w:rPr>
          <w:b/>
          <w:bCs/>
        </w:rPr>
        <w:t>Documents Required</w:t>
      </w:r>
      <w:r>
        <w:br/>
        <w:t>Applications should be completed online on the GSA awards website (click “Submit Application” to access the application portal) using a UCalgary email address and consist of:</w:t>
      </w:r>
    </w:p>
    <w:p w14:paraId="0460DBDA" w14:textId="77777777" w:rsidR="008C38A5" w:rsidRDefault="008C38A5" w:rsidP="00DE4773">
      <w:pPr>
        <w:pStyle w:val="NormalWeb"/>
        <w:numPr>
          <w:ilvl w:val="0"/>
          <w:numId w:val="4"/>
        </w:numPr>
        <w:spacing w:before="0" w:beforeAutospacing="0" w:after="0" w:afterAutospacing="0"/>
      </w:pPr>
      <w:r>
        <w:t>Upload proof of enrollment.</w:t>
      </w:r>
    </w:p>
    <w:p w14:paraId="12DEF026" w14:textId="77777777" w:rsidR="008C38A5" w:rsidRDefault="008C38A5" w:rsidP="00DE4773">
      <w:pPr>
        <w:pStyle w:val="NormalWeb"/>
        <w:numPr>
          <w:ilvl w:val="0"/>
          <w:numId w:val="4"/>
        </w:numPr>
        <w:spacing w:before="0" w:beforeAutospacing="0" w:after="0" w:afterAutospacing="0"/>
      </w:pPr>
      <w:r>
        <w:t>Receipts for ALL expenses claimed</w:t>
      </w:r>
    </w:p>
    <w:p w14:paraId="0DAF8CE4" w14:textId="77777777" w:rsidR="008C38A5" w:rsidRDefault="008C38A5" w:rsidP="00DE4773">
      <w:pPr>
        <w:pStyle w:val="NormalWeb"/>
        <w:numPr>
          <w:ilvl w:val="0"/>
          <w:numId w:val="4"/>
        </w:numPr>
        <w:spacing w:before="0" w:beforeAutospacing="0" w:after="0" w:afterAutospacing="0"/>
      </w:pPr>
      <w:r>
        <w:t>If applicable, proof of currency conversion (bank statement or online conversion calculator provided on application)</w:t>
      </w:r>
    </w:p>
    <w:p w14:paraId="22BCCB51" w14:textId="77777777" w:rsidR="008C38A5" w:rsidRDefault="008C38A5" w:rsidP="00DE4773">
      <w:pPr>
        <w:pStyle w:val="NormalWeb"/>
        <w:numPr>
          <w:ilvl w:val="0"/>
          <w:numId w:val="4"/>
        </w:numPr>
        <w:spacing w:before="0" w:beforeAutospacing="0" w:after="0" w:afterAutospacing="0"/>
      </w:pPr>
      <w:r>
        <w:t>Proof of activity completion/proof of activity attendance (i.e., certification of completion, photo at event, conference/workshop/course badge, etc.)</w:t>
      </w:r>
    </w:p>
    <w:p w14:paraId="3FD096A7" w14:textId="77777777" w:rsidR="008C38A5" w:rsidRDefault="008C38A5" w:rsidP="00DE4773">
      <w:pPr>
        <w:pStyle w:val="NormalWeb"/>
        <w:numPr>
          <w:ilvl w:val="0"/>
          <w:numId w:val="4"/>
        </w:numPr>
        <w:spacing w:before="0" w:beforeAutospacing="0" w:after="0" w:afterAutospacing="0"/>
      </w:pPr>
      <w:r>
        <w:t>Answer all Personal Statement questions.</w:t>
      </w:r>
      <w:r>
        <w:br/>
        <w:t>Please note: Incomplete applications (missing information, missing receipt(s) for a claimed expense, extra information/documents, and incorrectly filled out applications) or applications received after the intake deadline will NOT be considered.</w:t>
      </w:r>
    </w:p>
    <w:p w14:paraId="793CBB53" w14:textId="77777777" w:rsidR="00DE4773" w:rsidRDefault="00DE4773" w:rsidP="00DE4773">
      <w:pPr>
        <w:pStyle w:val="NormalWeb"/>
        <w:spacing w:before="0" w:beforeAutospacing="0" w:after="0" w:afterAutospacing="0"/>
        <w:rPr>
          <w:b/>
          <w:bCs/>
        </w:rPr>
      </w:pPr>
    </w:p>
    <w:p w14:paraId="40304F4C" w14:textId="4CB93BEC" w:rsidR="008C38A5" w:rsidRPr="0084530D" w:rsidRDefault="008C38A5" w:rsidP="00DE4773">
      <w:pPr>
        <w:pStyle w:val="NormalWeb"/>
        <w:spacing w:before="0" w:beforeAutospacing="0" w:after="0" w:afterAutospacing="0"/>
        <w:rPr>
          <w:b/>
          <w:bCs/>
        </w:rPr>
      </w:pPr>
      <w:r w:rsidRPr="0084530D">
        <w:rPr>
          <w:b/>
          <w:bCs/>
        </w:rPr>
        <w:t>Application Specifications</w:t>
      </w:r>
    </w:p>
    <w:p w14:paraId="185EED28" w14:textId="77777777" w:rsidR="008C38A5" w:rsidRDefault="008C38A5" w:rsidP="00DE4773">
      <w:pPr>
        <w:pStyle w:val="NormalWeb"/>
        <w:numPr>
          <w:ilvl w:val="0"/>
          <w:numId w:val="5"/>
        </w:numPr>
        <w:spacing w:before="0" w:beforeAutospacing="0" w:after="0" w:afterAutospacing="0"/>
      </w:pPr>
      <w:r>
        <w:t>Confirmation of enrollment</w:t>
      </w:r>
      <w:r>
        <w:br/>
        <w:t xml:space="preserve">○ Log into your </w:t>
      </w:r>
      <w:proofErr w:type="spellStart"/>
      <w:r>
        <w:t>UofC</w:t>
      </w:r>
      <w:proofErr w:type="spellEnd"/>
      <w:r>
        <w:t xml:space="preserve"> Student Portal – </w:t>
      </w:r>
      <w:proofErr w:type="spellStart"/>
      <w:r>
        <w:t>MyUCalgary</w:t>
      </w:r>
      <w:proofErr w:type="spellEnd"/>
      <w:r>
        <w:t xml:space="preserve"> (</w:t>
      </w:r>
      <w:hyperlink r:id="rId8" w:tgtFrame="_new" w:history="1">
        <w:r>
          <w:rPr>
            <w:rStyle w:val="Hyperlink"/>
            <w:rFonts w:eastAsiaTheme="majorEastAsia"/>
          </w:rPr>
          <w:t>https://my.ucalgary.ca/</w:t>
        </w:r>
      </w:hyperlink>
      <w:r>
        <w:t>)</w:t>
      </w:r>
      <w:r>
        <w:br/>
        <w:t xml:space="preserve">○ In the white side banner click </w:t>
      </w:r>
      <w:r>
        <w:rPr>
          <w:rStyle w:val="Strong"/>
          <w:rFonts w:eastAsiaTheme="majorEastAsia"/>
        </w:rPr>
        <w:t>“Program and Advising Info”</w:t>
      </w:r>
      <w:r>
        <w:br/>
        <w:t>○ Screenshot this page including your current program information: your name, year of program, degree stream, area of study, and academic load</w:t>
      </w:r>
      <w:r>
        <w:br/>
        <w:t xml:space="preserve">○ Attach this screenshot as proof of enrollment for the </w:t>
      </w:r>
      <w:r>
        <w:rPr>
          <w:rStyle w:val="Strong"/>
          <w:rFonts w:eastAsiaTheme="majorEastAsia"/>
        </w:rPr>
        <w:t>2025–26</w:t>
      </w:r>
      <w:r>
        <w:t xml:space="preserve"> academic year.</w:t>
      </w:r>
    </w:p>
    <w:p w14:paraId="0CBCC325" w14:textId="77777777" w:rsidR="008C38A5" w:rsidRDefault="008C38A5" w:rsidP="00DE4773">
      <w:pPr>
        <w:pStyle w:val="NormalWeb"/>
        <w:numPr>
          <w:ilvl w:val="0"/>
          <w:numId w:val="5"/>
        </w:numPr>
        <w:spacing w:before="0" w:beforeAutospacing="0" w:after="0" w:afterAutospacing="0"/>
      </w:pPr>
      <w:r>
        <w:t>Single Submission: Applicants may submit only one (1) PDG application per intake period.</w:t>
      </w:r>
    </w:p>
    <w:p w14:paraId="40970AFA" w14:textId="77777777" w:rsidR="008C38A5" w:rsidRDefault="008C38A5" w:rsidP="00DE4773">
      <w:pPr>
        <w:pStyle w:val="NormalWeb"/>
        <w:numPr>
          <w:ilvl w:val="0"/>
          <w:numId w:val="5"/>
        </w:numPr>
        <w:spacing w:before="0" w:beforeAutospacing="0" w:after="0" w:afterAutospacing="0"/>
      </w:pPr>
      <w:r>
        <w:lastRenderedPageBreak/>
        <w:t>Retroactive Applications: Only retroactive applications will be considered. Funding is provided solely for professional development activities that have already been completed.</w:t>
      </w:r>
    </w:p>
    <w:p w14:paraId="7D8CFCEC" w14:textId="77777777" w:rsidR="008C38A5" w:rsidRDefault="008C38A5" w:rsidP="00DE4773">
      <w:pPr>
        <w:pStyle w:val="NormalWeb"/>
        <w:numPr>
          <w:ilvl w:val="0"/>
          <w:numId w:val="5"/>
        </w:numPr>
        <w:spacing w:before="0" w:beforeAutospacing="0" w:after="0" w:afterAutospacing="0"/>
      </w:pPr>
      <w:r>
        <w:t xml:space="preserve">Completion Window: Applications will not be accepted for activities completed prior to the opening date of the previous year’s Fall intake period. For example, for the intake deadline of November 15, 2025, eligible professional development activities must have been completed between October 21, </w:t>
      </w:r>
      <w:proofErr w:type="gramStart"/>
      <w:r>
        <w:t>2024</w:t>
      </w:r>
      <w:proofErr w:type="gramEnd"/>
      <w:r>
        <w:t xml:space="preserve"> and November 15, 2025.</w:t>
      </w:r>
    </w:p>
    <w:p w14:paraId="24CFDD5A" w14:textId="77777777" w:rsidR="008C38A5" w:rsidRDefault="008C38A5" w:rsidP="00DE4773">
      <w:pPr>
        <w:pStyle w:val="NormalWeb"/>
        <w:numPr>
          <w:ilvl w:val="0"/>
          <w:numId w:val="5"/>
        </w:numPr>
        <w:spacing w:before="0" w:beforeAutospacing="0" w:after="0" w:afterAutospacing="0"/>
      </w:pPr>
      <w:r>
        <w:t>The inclusion of any extra documents or material will not be evaluated as part of the adjudication process.</w:t>
      </w:r>
    </w:p>
    <w:p w14:paraId="464B7115" w14:textId="77777777" w:rsidR="00DE4773" w:rsidRDefault="00DE4773" w:rsidP="00DE4773">
      <w:pPr>
        <w:pStyle w:val="NormalWeb"/>
        <w:spacing w:before="0" w:beforeAutospacing="0" w:after="0" w:afterAutospacing="0"/>
        <w:rPr>
          <w:b/>
          <w:bCs/>
        </w:rPr>
      </w:pPr>
    </w:p>
    <w:p w14:paraId="48D0407B" w14:textId="29EB6341" w:rsidR="0084530D" w:rsidRDefault="008C38A5" w:rsidP="00DE4773">
      <w:pPr>
        <w:pStyle w:val="NormalWeb"/>
        <w:spacing w:before="0" w:beforeAutospacing="0" w:after="0" w:afterAutospacing="0"/>
      </w:pPr>
      <w:r w:rsidRPr="0084530D">
        <w:rPr>
          <w:b/>
          <w:bCs/>
        </w:rPr>
        <w:t>Adjudication Criteria</w:t>
      </w:r>
      <w:r>
        <w:br/>
        <w:t>Applicants must meet eligibility and submission requirements as described above. All eligible applications will be assessed using the following criteria:</w:t>
      </w:r>
    </w:p>
    <w:p w14:paraId="31231D2C" w14:textId="77777777" w:rsidR="0084530D" w:rsidRDefault="008C38A5" w:rsidP="00DE4773">
      <w:pPr>
        <w:pStyle w:val="NormalWeb"/>
        <w:numPr>
          <w:ilvl w:val="0"/>
          <w:numId w:val="7"/>
        </w:numPr>
        <w:spacing w:before="0" w:beforeAutospacing="0" w:after="0" w:afterAutospacing="0"/>
      </w:pPr>
      <w:r>
        <w:t>Relevance and Impact – How effectively the proposed activity contributes to the applicant’s academic, professional, or career growth beyond degree requirements, demonstrating a clear link to long-term goals and the ability to apply acquired skills to their field or community.</w:t>
      </w:r>
    </w:p>
    <w:p w14:paraId="2912D060" w14:textId="77777777" w:rsidR="0084530D" w:rsidRDefault="008C38A5" w:rsidP="00DE4773">
      <w:pPr>
        <w:pStyle w:val="NormalWeb"/>
        <w:numPr>
          <w:ilvl w:val="0"/>
          <w:numId w:val="7"/>
        </w:numPr>
        <w:spacing w:before="0" w:beforeAutospacing="0" w:after="0" w:afterAutospacing="0"/>
      </w:pPr>
      <w:r>
        <w:t>Quality and Clarity of Statement – The coherence, organization, and persuasiveness of the written benefit statement, showing clear purpose, logical structure, and thoughtful reflection on professional development.</w:t>
      </w:r>
    </w:p>
    <w:p w14:paraId="3E9A4438" w14:textId="77777777" w:rsidR="0084530D" w:rsidRDefault="008C38A5" w:rsidP="00DE4773">
      <w:pPr>
        <w:pStyle w:val="NormalWeb"/>
        <w:numPr>
          <w:ilvl w:val="0"/>
          <w:numId w:val="7"/>
        </w:numPr>
        <w:spacing w:before="0" w:beforeAutospacing="0" w:after="0" w:afterAutospacing="0"/>
      </w:pPr>
      <w:r>
        <w:t>Completeness and Compliance – The accuracy, thoroughness, and adherence to application requirements, including submission of all required documents and compliance with stated guidelines and deadlines.</w:t>
      </w:r>
    </w:p>
    <w:p w14:paraId="556B83A9" w14:textId="400C9AC5" w:rsidR="008C38A5" w:rsidRDefault="008C38A5" w:rsidP="00DE4773">
      <w:pPr>
        <w:pStyle w:val="NormalWeb"/>
        <w:numPr>
          <w:ilvl w:val="0"/>
          <w:numId w:val="7"/>
        </w:numPr>
        <w:spacing w:before="0" w:beforeAutospacing="0" w:after="0" w:afterAutospacing="0"/>
      </w:pPr>
      <w:r>
        <w:t>Budget and Cost Effectiveness – The feasibility and justification of the proposed budget, with reasonable, clearly itemized costs and demonstrated cost-consciousness through efforts such as securing other funding, sharing expenses, or selecting economical options.</w:t>
      </w:r>
    </w:p>
    <w:p w14:paraId="000CE4D1" w14:textId="77777777" w:rsidR="00DE4773" w:rsidRDefault="00DE4773" w:rsidP="00DE4773">
      <w:pPr>
        <w:pStyle w:val="NormalWeb"/>
        <w:spacing w:before="0" w:beforeAutospacing="0" w:after="0" w:afterAutospacing="0"/>
      </w:pPr>
    </w:p>
    <w:p w14:paraId="18A6CC8E" w14:textId="573DFC82" w:rsidR="008C38A5" w:rsidRPr="00DE4773" w:rsidRDefault="008C38A5" w:rsidP="00DE4773">
      <w:pPr>
        <w:pStyle w:val="NormalWeb"/>
        <w:spacing w:before="0" w:beforeAutospacing="0" w:after="0" w:afterAutospacing="0"/>
        <w:rPr>
          <w:b/>
          <w:bCs/>
        </w:rPr>
      </w:pPr>
      <w:r w:rsidRPr="00DE4773">
        <w:rPr>
          <w:b/>
          <w:bCs/>
        </w:rPr>
        <w:t>Additional Regulations</w:t>
      </w:r>
    </w:p>
    <w:p w14:paraId="5202151D" w14:textId="77777777" w:rsidR="008C38A5" w:rsidRDefault="008C38A5" w:rsidP="00DE4773">
      <w:pPr>
        <w:pStyle w:val="NormalWeb"/>
        <w:numPr>
          <w:ilvl w:val="0"/>
          <w:numId w:val="6"/>
        </w:numPr>
        <w:spacing w:before="0" w:beforeAutospacing="0" w:after="0" w:afterAutospacing="0"/>
      </w:pPr>
      <w:r>
        <w:t>All application information will be restricted to the Awards Committee and the GSA.</w:t>
      </w:r>
    </w:p>
    <w:p w14:paraId="34F0D5D9" w14:textId="77777777" w:rsidR="008C38A5" w:rsidRDefault="008C38A5" w:rsidP="00DE4773">
      <w:pPr>
        <w:pStyle w:val="NormalWeb"/>
        <w:numPr>
          <w:ilvl w:val="0"/>
          <w:numId w:val="6"/>
        </w:numPr>
        <w:spacing w:before="0" w:beforeAutospacing="0" w:after="0" w:afterAutospacing="0"/>
      </w:pPr>
      <w:r>
        <w:t>The Professional Development Grants are evaluated by the Awards Committee under the supervision of the GSA VP Academic.</w:t>
      </w:r>
    </w:p>
    <w:p w14:paraId="1648B748" w14:textId="77777777" w:rsidR="008C38A5" w:rsidRDefault="008C38A5" w:rsidP="00DE4773">
      <w:pPr>
        <w:pStyle w:val="NormalWeb"/>
        <w:numPr>
          <w:ilvl w:val="0"/>
          <w:numId w:val="6"/>
        </w:numPr>
        <w:spacing w:before="0" w:beforeAutospacing="0" w:after="0" w:afterAutospacing="0"/>
      </w:pPr>
      <w:r>
        <w:t>As the number of applicants far surpasses the number of available spots, we are unable to award all graduate students who apply.</w:t>
      </w:r>
    </w:p>
    <w:p w14:paraId="7EAC09A3" w14:textId="77777777" w:rsidR="008C38A5" w:rsidRDefault="008C38A5" w:rsidP="00DE4773">
      <w:pPr>
        <w:pStyle w:val="NormalWeb"/>
        <w:numPr>
          <w:ilvl w:val="0"/>
          <w:numId w:val="6"/>
        </w:numPr>
        <w:spacing w:before="0" w:beforeAutospacing="0" w:after="0" w:afterAutospacing="0"/>
      </w:pPr>
      <w:r>
        <w:t>Questions about the application process must be directed to the Awards Committee Chair and Vice Chairs at awards.gsa@ucalgary.ca.</w:t>
      </w:r>
    </w:p>
    <w:p w14:paraId="28FAB32B" w14:textId="77777777" w:rsidR="008C38A5" w:rsidRDefault="008C38A5" w:rsidP="00DE4773">
      <w:pPr>
        <w:pStyle w:val="NormalWeb"/>
        <w:numPr>
          <w:ilvl w:val="0"/>
          <w:numId w:val="6"/>
        </w:numPr>
        <w:spacing w:before="0" w:beforeAutospacing="0" w:after="0" w:afterAutospacing="0"/>
      </w:pPr>
      <w:r>
        <w:t>The Awards Committee Chair is committed to answering questions regarding this award when possible. Questions that arrive less than 72 hours before the intake deadline may not be answered.</w:t>
      </w:r>
    </w:p>
    <w:p w14:paraId="34B84353" w14:textId="77777777" w:rsidR="008C38A5" w:rsidRDefault="008C38A5" w:rsidP="00DE4773">
      <w:pPr>
        <w:pStyle w:val="NormalWeb"/>
        <w:numPr>
          <w:ilvl w:val="0"/>
          <w:numId w:val="6"/>
        </w:numPr>
        <w:spacing w:before="0" w:beforeAutospacing="0" w:after="0" w:afterAutospacing="0"/>
      </w:pPr>
      <w:r>
        <w:t>The Awards Committee will evaluate all application packages based on the adjudication criteria stated above.</w:t>
      </w:r>
    </w:p>
    <w:p w14:paraId="1BFBA4AA" w14:textId="77777777" w:rsidR="008C38A5" w:rsidRDefault="008C38A5" w:rsidP="00DE4773">
      <w:pPr>
        <w:pStyle w:val="NormalWeb"/>
        <w:numPr>
          <w:ilvl w:val="0"/>
          <w:numId w:val="6"/>
        </w:numPr>
        <w:spacing w:before="0" w:beforeAutospacing="0" w:after="0" w:afterAutospacing="0"/>
      </w:pPr>
      <w:r>
        <w:t>PDG decisions will be made 10–12 weeks from the intake deadline and application feedback will not be provided.</w:t>
      </w:r>
    </w:p>
    <w:p w14:paraId="1FE8DB9C" w14:textId="77777777" w:rsidR="008C38A5" w:rsidRDefault="008C38A5" w:rsidP="00DE4773">
      <w:pPr>
        <w:pStyle w:val="NormalWeb"/>
        <w:numPr>
          <w:ilvl w:val="0"/>
          <w:numId w:val="6"/>
        </w:numPr>
        <w:spacing w:before="0" w:beforeAutospacing="0" w:after="0" w:afterAutospacing="0"/>
      </w:pPr>
      <w:r>
        <w:t>The GSA will not be responsible for any tax liability incurred from awarding the funds.</w:t>
      </w:r>
    </w:p>
    <w:p w14:paraId="433DBEF2" w14:textId="77777777" w:rsidR="008C38A5" w:rsidRDefault="008C38A5" w:rsidP="00DE4773">
      <w:pPr>
        <w:pStyle w:val="NormalWeb"/>
        <w:numPr>
          <w:ilvl w:val="0"/>
          <w:numId w:val="6"/>
        </w:numPr>
        <w:spacing w:before="0" w:beforeAutospacing="0" w:after="0" w:afterAutospacing="0"/>
      </w:pPr>
      <w:r>
        <w:lastRenderedPageBreak/>
        <w:t>Applications must be written in English.</w:t>
      </w:r>
    </w:p>
    <w:p w14:paraId="2C8A7EC2" w14:textId="77777777" w:rsidR="00DE4773" w:rsidRDefault="00DE4773" w:rsidP="00DE4773">
      <w:pPr>
        <w:pStyle w:val="NormalWeb"/>
        <w:spacing w:before="0" w:beforeAutospacing="0" w:after="0" w:afterAutospacing="0"/>
      </w:pPr>
    </w:p>
    <w:p w14:paraId="32D32A7F" w14:textId="09B2D463" w:rsidR="008C38A5" w:rsidRDefault="008C38A5" w:rsidP="00DE4773">
      <w:pPr>
        <w:pStyle w:val="NormalWeb"/>
        <w:spacing w:before="0" w:beforeAutospacing="0" w:after="0" w:afterAutospacing="0"/>
      </w:pPr>
      <w:r>
        <w:t>Committee Approval Date: November 07, 2025</w:t>
      </w:r>
      <w:r>
        <w:br/>
        <w:t>Elected Council Approval Date: November, 2025</w:t>
      </w:r>
      <w:r>
        <w:br/>
        <w:t xml:space="preserve">Revised Date: </w:t>
      </w:r>
      <w:r w:rsidR="0084530D">
        <w:t>November</w:t>
      </w:r>
      <w:r>
        <w:t xml:space="preserve"> 2025</w:t>
      </w:r>
    </w:p>
    <w:p w14:paraId="13B6F65E" w14:textId="77777777" w:rsidR="008C38A5" w:rsidRDefault="008C38A5"/>
    <w:sectPr w:rsidR="008C38A5" w:rsidSect="001A2D46">
      <w:headerReference w:type="default" r:id="rId9"/>
      <w:footerReference w:type="default" r:id="rId10"/>
      <w:pgSz w:w="12240" w:h="15840"/>
      <w:pgMar w:top="1440" w:right="1080" w:bottom="1440" w:left="108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4BC7" w14:textId="77777777" w:rsidR="0054261B" w:rsidRDefault="0054261B" w:rsidP="00930DB1">
      <w:pPr>
        <w:spacing w:after="0" w:line="240" w:lineRule="auto"/>
      </w:pPr>
      <w:r>
        <w:separator/>
      </w:r>
    </w:p>
  </w:endnote>
  <w:endnote w:type="continuationSeparator" w:id="0">
    <w:p w14:paraId="5495B5D3" w14:textId="77777777" w:rsidR="0054261B" w:rsidRDefault="0054261B" w:rsidP="0093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017B" w14:textId="77777777" w:rsidR="00680144" w:rsidRDefault="00680144">
    <w:pPr>
      <w:pStyle w:val="Footer"/>
    </w:pPr>
  </w:p>
  <w:p w14:paraId="0B4ECEAF" w14:textId="77777777" w:rsidR="00680144" w:rsidRDefault="00680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5378" w14:textId="77777777" w:rsidR="0054261B" w:rsidRDefault="0054261B" w:rsidP="00930DB1">
      <w:pPr>
        <w:spacing w:after="0" w:line="240" w:lineRule="auto"/>
      </w:pPr>
      <w:r>
        <w:separator/>
      </w:r>
    </w:p>
  </w:footnote>
  <w:footnote w:type="continuationSeparator" w:id="0">
    <w:p w14:paraId="2485210D" w14:textId="77777777" w:rsidR="0054261B" w:rsidRDefault="0054261B" w:rsidP="0093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B2B2" w14:textId="7E6C71BA" w:rsidR="001A2D46" w:rsidRPr="000D3706" w:rsidRDefault="001A2D46" w:rsidP="001A2D46">
    <w:pPr>
      <w:pStyle w:val="Header"/>
      <w:jc w:val="right"/>
      <w:rPr>
        <w:rStyle w:val="oypena"/>
        <w:rFonts w:ascii="Source Sans Pro" w:hAnsi="Source Sans Pro"/>
        <w:color w:val="20074D"/>
      </w:rPr>
    </w:pPr>
    <w:r w:rsidRPr="000D3706">
      <w:rPr>
        <w:rFonts w:ascii="Source Sans Pro" w:hAnsi="Source Sans Pro"/>
        <w:noProof/>
        <w:color w:val="000000"/>
      </w:rPr>
      <w:drawing>
        <wp:anchor distT="0" distB="0" distL="114300" distR="114300" simplePos="0" relativeHeight="251661312" behindDoc="1" locked="0" layoutInCell="1" allowOverlap="1" wp14:anchorId="3AADF1D5" wp14:editId="62AEFB02">
          <wp:simplePos x="0" y="0"/>
          <wp:positionH relativeFrom="column">
            <wp:posOffset>-34096</wp:posOffset>
          </wp:positionH>
          <wp:positionV relativeFrom="paragraph">
            <wp:posOffset>68580</wp:posOffset>
          </wp:positionV>
          <wp:extent cx="1998262" cy="591820"/>
          <wp:effectExtent l="0" t="0" r="0" b="5080"/>
          <wp:wrapTight wrapText="bothSides">
            <wp:wrapPolygon edited="0">
              <wp:start x="1785" y="0"/>
              <wp:lineTo x="0" y="4172"/>
              <wp:lineTo x="0" y="17150"/>
              <wp:lineTo x="1648" y="21322"/>
              <wp:lineTo x="21147" y="21322"/>
              <wp:lineTo x="21284" y="19468"/>
              <wp:lineTo x="21421" y="17150"/>
              <wp:lineTo x="21421" y="5099"/>
              <wp:lineTo x="21284" y="0"/>
              <wp:lineTo x="1785" y="0"/>
            </wp:wrapPolygon>
          </wp:wrapTight>
          <wp:docPr id="15861428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42855"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998262" cy="591820"/>
                  </a:xfrm>
                  <a:prstGeom prst="rect">
                    <a:avLst/>
                  </a:prstGeom>
                </pic:spPr>
              </pic:pic>
            </a:graphicData>
          </a:graphic>
          <wp14:sizeRelH relativeFrom="page">
            <wp14:pctWidth>0</wp14:pctWidth>
          </wp14:sizeRelH>
          <wp14:sizeRelV relativeFrom="page">
            <wp14:pctHeight>0</wp14:pctHeight>
          </wp14:sizeRelV>
        </wp:anchor>
      </w:drawing>
    </w:r>
    <w:r w:rsidR="002A2BDA" w:rsidRPr="000D3706">
      <w:rPr>
        <w:rStyle w:val="oypena"/>
        <w:rFonts w:ascii="Source Sans Pro" w:hAnsi="Source Sans Pro"/>
        <w:color w:val="20074D"/>
      </w:rPr>
      <w:t>10</w:t>
    </w:r>
    <w:r w:rsidRPr="000D3706">
      <w:rPr>
        <w:rStyle w:val="oypena"/>
        <w:rFonts w:ascii="Source Sans Pro" w:hAnsi="Source Sans Pro"/>
        <w:color w:val="20074D"/>
      </w:rPr>
      <w:t>30 ES, 844 Campus Place NW</w:t>
    </w:r>
    <w:r w:rsidRPr="000D3706">
      <w:rPr>
        <w:rStyle w:val="oypena"/>
        <w:rFonts w:ascii="Source Sans Pro" w:eastAsiaTheme="majorEastAsia" w:hAnsi="Source Sans Pro"/>
        <w:color w:val="20074D"/>
      </w:rPr>
      <w:t xml:space="preserve"> </w:t>
    </w:r>
  </w:p>
  <w:p w14:paraId="2C562645" w14:textId="00BE471B" w:rsidR="001A2D46" w:rsidRPr="000D3706" w:rsidRDefault="001A2D46" w:rsidP="001A2D46">
    <w:pPr>
      <w:pStyle w:val="Header"/>
      <w:jc w:val="right"/>
      <w:rPr>
        <w:rStyle w:val="oypena"/>
        <w:rFonts w:ascii="Source Sans Pro" w:eastAsiaTheme="majorEastAsia" w:hAnsi="Source Sans Pro"/>
        <w:color w:val="20074D"/>
      </w:rPr>
    </w:pPr>
    <w:r w:rsidRPr="000D3706">
      <w:rPr>
        <w:rStyle w:val="oypena"/>
        <w:rFonts w:ascii="Source Sans Pro" w:hAnsi="Source Sans Pro"/>
        <w:color w:val="20074D"/>
      </w:rPr>
      <w:t>Calgary, Alberta T2N 1N4</w:t>
    </w:r>
    <w:r w:rsidRPr="000D3706">
      <w:rPr>
        <w:rStyle w:val="oypena"/>
        <w:rFonts w:ascii="Source Sans Pro" w:eastAsiaTheme="majorEastAsia" w:hAnsi="Source Sans Pro"/>
        <w:color w:val="20074D"/>
      </w:rPr>
      <w:t xml:space="preserve"> </w:t>
    </w:r>
  </w:p>
  <w:p w14:paraId="23B666C3" w14:textId="67980D68" w:rsidR="001A2D46" w:rsidRPr="000D3706" w:rsidRDefault="001A2D46" w:rsidP="001A2D46">
    <w:pPr>
      <w:pStyle w:val="Header"/>
      <w:jc w:val="right"/>
      <w:rPr>
        <w:rStyle w:val="oypena"/>
        <w:rFonts w:ascii="Source Sans Pro" w:eastAsiaTheme="majorEastAsia" w:hAnsi="Source Sans Pro"/>
        <w:color w:val="20074D"/>
      </w:rPr>
    </w:pPr>
    <w:r w:rsidRPr="000D3706">
      <w:rPr>
        <w:rStyle w:val="oypena"/>
        <w:rFonts w:ascii="Source Sans Pro" w:hAnsi="Source Sans Pro"/>
        <w:color w:val="20074D"/>
      </w:rPr>
      <w:t>askgsa@ucalgary.ca</w:t>
    </w:r>
    <w:r w:rsidRPr="000D3706">
      <w:rPr>
        <w:rStyle w:val="oypena"/>
        <w:rFonts w:ascii="Source Sans Pro" w:eastAsiaTheme="majorEastAsia" w:hAnsi="Source Sans Pro"/>
        <w:color w:val="20074D"/>
      </w:rPr>
      <w:t xml:space="preserve"> </w:t>
    </w:r>
  </w:p>
  <w:p w14:paraId="73B34F17" w14:textId="1D0A4B3D" w:rsidR="00680144" w:rsidRPr="000D3706" w:rsidRDefault="001A2D46" w:rsidP="000D3706">
    <w:pPr>
      <w:pStyle w:val="Header"/>
      <w:jc w:val="right"/>
      <w:rPr>
        <w:rStyle w:val="oypena"/>
        <w:rFonts w:ascii="Source Sans Pro" w:hAnsi="Source Sans Pro"/>
        <w:color w:val="20074D"/>
      </w:rPr>
    </w:pPr>
    <w:r w:rsidRPr="000D3706">
      <w:rPr>
        <w:rStyle w:val="oypena"/>
        <w:rFonts w:ascii="Source Sans Pro" w:hAnsi="Source Sans Pro"/>
        <w:color w:val="20074D"/>
      </w:rPr>
      <w:t>403-220-5997</w:t>
    </w:r>
  </w:p>
  <w:p w14:paraId="4C413231" w14:textId="77777777" w:rsidR="000D3706" w:rsidRPr="000D3706" w:rsidRDefault="000D3706" w:rsidP="000D3706">
    <w:pPr>
      <w:pStyle w:val="Header"/>
      <w:jc w:val="right"/>
      <w:rPr>
        <w:rStyle w:val="oypena"/>
        <w:rFonts w:ascii="Source Sans Pro" w:hAnsi="Source Sans Pro"/>
        <w:color w:val="20074D"/>
      </w:rPr>
    </w:pPr>
  </w:p>
  <w:p w14:paraId="13E2738A" w14:textId="111088E6" w:rsidR="00680144" w:rsidRDefault="00680144" w:rsidP="001A2D46">
    <w:pPr>
      <w:pStyle w:val="Header"/>
      <w:rPr>
        <w:color w:val="20084D"/>
      </w:rPr>
    </w:pPr>
    <w:r>
      <w:rPr>
        <w:noProof/>
      </w:rPr>
      <mc:AlternateContent>
        <mc:Choice Requires="wps">
          <w:drawing>
            <wp:anchor distT="0" distB="0" distL="114300" distR="114300" simplePos="0" relativeHeight="251663360" behindDoc="0" locked="0" layoutInCell="1" allowOverlap="1" wp14:anchorId="671A181D" wp14:editId="4CF5DC71">
              <wp:simplePos x="0" y="0"/>
              <wp:positionH relativeFrom="column">
                <wp:posOffset>4665</wp:posOffset>
              </wp:positionH>
              <wp:positionV relativeFrom="paragraph">
                <wp:posOffset>144689</wp:posOffset>
              </wp:positionV>
              <wp:extent cx="6410131" cy="0"/>
              <wp:effectExtent l="0" t="25400" r="29210" b="25400"/>
              <wp:wrapNone/>
              <wp:docPr id="166849346" name="Straight Connector 9"/>
              <wp:cNvGraphicFramePr/>
              <a:graphic xmlns:a="http://schemas.openxmlformats.org/drawingml/2006/main">
                <a:graphicData uri="http://schemas.microsoft.com/office/word/2010/wordprocessingShape">
                  <wps:wsp>
                    <wps:cNvCnPr/>
                    <wps:spPr>
                      <a:xfrm>
                        <a:off x="0" y="0"/>
                        <a:ext cx="6410131" cy="0"/>
                      </a:xfrm>
                      <a:prstGeom prst="line">
                        <a:avLst/>
                      </a:prstGeom>
                      <a:ln w="44450">
                        <a:gradFill flip="none" rotWithShape="1">
                          <a:gsLst>
                            <a:gs pos="0">
                              <a:srgbClr val="54BB46"/>
                            </a:gs>
                            <a:gs pos="50000">
                              <a:srgbClr val="FDBA10"/>
                            </a:gs>
                            <a:gs pos="100000">
                              <a:srgbClr val="D8098C"/>
                            </a:gs>
                          </a:gsLst>
                          <a:path path="circle">
                            <a:fillToRect l="100000" t="100000"/>
                          </a:path>
                          <a:tileRect r="-100000" b="-100000"/>
                        </a:gra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1A0DF25D" id="Straight Connector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4pt" to="505.1pt,1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" strokeweight="3.5pt">
              <v:stroke joinstyle="miter"/>
            </v:line>
          </w:pict>
        </mc:Fallback>
      </mc:AlternateContent>
    </w:r>
  </w:p>
  <w:p w14:paraId="03047059" w14:textId="1B185F66" w:rsidR="00680144" w:rsidRDefault="00680144" w:rsidP="001A2D46">
    <w:pPr>
      <w:pStyle w:val="Header"/>
      <w:rPr>
        <w:color w:val="20084D"/>
      </w:rPr>
    </w:pPr>
  </w:p>
  <w:p w14:paraId="4D5A7666" w14:textId="1F76098E" w:rsidR="001A2D46" w:rsidRPr="001272CF" w:rsidRDefault="001A2D46" w:rsidP="001A2D46">
    <w:pPr>
      <w:pStyle w:val="Header"/>
      <w:rPr>
        <w:color w:val="20084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696"/>
    <w:multiLevelType w:val="hybridMultilevel"/>
    <w:tmpl w:val="466E4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81837"/>
    <w:multiLevelType w:val="hybridMultilevel"/>
    <w:tmpl w:val="50C03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D57790"/>
    <w:multiLevelType w:val="multilevel"/>
    <w:tmpl w:val="D14CF9B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26F87"/>
    <w:multiLevelType w:val="hybridMultilevel"/>
    <w:tmpl w:val="9A7A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41570"/>
    <w:multiLevelType w:val="multilevel"/>
    <w:tmpl w:val="50844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094E11"/>
    <w:multiLevelType w:val="multilevel"/>
    <w:tmpl w:val="6AB6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E201D4"/>
    <w:multiLevelType w:val="multilevel"/>
    <w:tmpl w:val="C19A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311E36"/>
    <w:multiLevelType w:val="hybridMultilevel"/>
    <w:tmpl w:val="80D6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17384"/>
    <w:multiLevelType w:val="hybridMultilevel"/>
    <w:tmpl w:val="B48C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A2696"/>
    <w:multiLevelType w:val="hybridMultilevel"/>
    <w:tmpl w:val="E774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7240A"/>
    <w:multiLevelType w:val="multilevel"/>
    <w:tmpl w:val="B1D4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1038C8"/>
    <w:multiLevelType w:val="multilevel"/>
    <w:tmpl w:val="D14CF9B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A739C0"/>
    <w:multiLevelType w:val="multilevel"/>
    <w:tmpl w:val="6120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2A3497"/>
    <w:multiLevelType w:val="multilevel"/>
    <w:tmpl w:val="9912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6790892">
    <w:abstractNumId w:val="12"/>
  </w:num>
  <w:num w:numId="2" w16cid:durableId="1337877386">
    <w:abstractNumId w:val="4"/>
  </w:num>
  <w:num w:numId="3" w16cid:durableId="216597666">
    <w:abstractNumId w:val="10"/>
  </w:num>
  <w:num w:numId="4" w16cid:durableId="684675392">
    <w:abstractNumId w:val="13"/>
  </w:num>
  <w:num w:numId="5" w16cid:durableId="1439763677">
    <w:abstractNumId w:val="6"/>
  </w:num>
  <w:num w:numId="6" w16cid:durableId="679628124">
    <w:abstractNumId w:val="5"/>
  </w:num>
  <w:num w:numId="7" w16cid:durableId="1682967170">
    <w:abstractNumId w:val="7"/>
  </w:num>
  <w:num w:numId="8" w16cid:durableId="504519335">
    <w:abstractNumId w:val="1"/>
  </w:num>
  <w:num w:numId="9" w16cid:durableId="174544243">
    <w:abstractNumId w:val="11"/>
  </w:num>
  <w:num w:numId="10" w16cid:durableId="1426733910">
    <w:abstractNumId w:val="2"/>
  </w:num>
  <w:num w:numId="11" w16cid:durableId="2111923633">
    <w:abstractNumId w:val="0"/>
  </w:num>
  <w:num w:numId="12" w16cid:durableId="690499405">
    <w:abstractNumId w:val="9"/>
  </w:num>
  <w:num w:numId="13" w16cid:durableId="1980726511">
    <w:abstractNumId w:val="3"/>
  </w:num>
  <w:num w:numId="14" w16cid:durableId="1037509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B1"/>
    <w:rsid w:val="00071531"/>
    <w:rsid w:val="00095EB7"/>
    <w:rsid w:val="000A5354"/>
    <w:rsid w:val="000D3706"/>
    <w:rsid w:val="001272CF"/>
    <w:rsid w:val="001A2D46"/>
    <w:rsid w:val="001A7E16"/>
    <w:rsid w:val="001F5FC1"/>
    <w:rsid w:val="00200831"/>
    <w:rsid w:val="002A2BDA"/>
    <w:rsid w:val="003F4397"/>
    <w:rsid w:val="00422270"/>
    <w:rsid w:val="0046492D"/>
    <w:rsid w:val="0054261B"/>
    <w:rsid w:val="00680144"/>
    <w:rsid w:val="006E1B9A"/>
    <w:rsid w:val="007F3D1D"/>
    <w:rsid w:val="00822DBC"/>
    <w:rsid w:val="00834237"/>
    <w:rsid w:val="0084530D"/>
    <w:rsid w:val="008574B7"/>
    <w:rsid w:val="008C38A5"/>
    <w:rsid w:val="008E149C"/>
    <w:rsid w:val="00930DB1"/>
    <w:rsid w:val="009E1000"/>
    <w:rsid w:val="009E7490"/>
    <w:rsid w:val="00BD55B9"/>
    <w:rsid w:val="00BF37B3"/>
    <w:rsid w:val="00C4357A"/>
    <w:rsid w:val="00C45A53"/>
    <w:rsid w:val="00C64CF4"/>
    <w:rsid w:val="00C974FB"/>
    <w:rsid w:val="00CC1FEB"/>
    <w:rsid w:val="00D85724"/>
    <w:rsid w:val="00DA1CDF"/>
    <w:rsid w:val="00DE4773"/>
    <w:rsid w:val="00DF7CE6"/>
    <w:rsid w:val="00E4138D"/>
    <w:rsid w:val="00EB0F9C"/>
    <w:rsid w:val="00EF11B9"/>
    <w:rsid w:val="00EF45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60D67"/>
  <w15:chartTrackingRefBased/>
  <w15:docId w15:val="{C71B46E4-5F5C-AE44-849C-21D12C5F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DB1"/>
    <w:rPr>
      <w:rFonts w:eastAsiaTheme="majorEastAsia" w:cstheme="majorBidi"/>
      <w:color w:val="272727" w:themeColor="text1" w:themeTint="D8"/>
    </w:rPr>
  </w:style>
  <w:style w:type="paragraph" w:styleId="Title">
    <w:name w:val="Title"/>
    <w:basedOn w:val="Normal"/>
    <w:next w:val="Normal"/>
    <w:link w:val="TitleChar"/>
    <w:uiPriority w:val="10"/>
    <w:qFormat/>
    <w:rsid w:val="00930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DB1"/>
    <w:pPr>
      <w:spacing w:before="160"/>
      <w:jc w:val="center"/>
    </w:pPr>
    <w:rPr>
      <w:i/>
      <w:iCs/>
      <w:color w:val="404040" w:themeColor="text1" w:themeTint="BF"/>
    </w:rPr>
  </w:style>
  <w:style w:type="character" w:customStyle="1" w:styleId="QuoteChar">
    <w:name w:val="Quote Char"/>
    <w:basedOn w:val="DefaultParagraphFont"/>
    <w:link w:val="Quote"/>
    <w:uiPriority w:val="29"/>
    <w:rsid w:val="00930DB1"/>
    <w:rPr>
      <w:i/>
      <w:iCs/>
      <w:color w:val="404040" w:themeColor="text1" w:themeTint="BF"/>
    </w:rPr>
  </w:style>
  <w:style w:type="paragraph" w:styleId="ListParagraph">
    <w:name w:val="List Paragraph"/>
    <w:basedOn w:val="Normal"/>
    <w:uiPriority w:val="34"/>
    <w:qFormat/>
    <w:rsid w:val="00930DB1"/>
    <w:pPr>
      <w:ind w:left="720"/>
      <w:contextualSpacing/>
    </w:pPr>
  </w:style>
  <w:style w:type="character" w:styleId="IntenseEmphasis">
    <w:name w:val="Intense Emphasis"/>
    <w:basedOn w:val="DefaultParagraphFont"/>
    <w:uiPriority w:val="21"/>
    <w:qFormat/>
    <w:rsid w:val="00930DB1"/>
    <w:rPr>
      <w:i/>
      <w:iCs/>
      <w:color w:val="0F4761" w:themeColor="accent1" w:themeShade="BF"/>
    </w:rPr>
  </w:style>
  <w:style w:type="paragraph" w:styleId="IntenseQuote">
    <w:name w:val="Intense Quote"/>
    <w:basedOn w:val="Normal"/>
    <w:next w:val="Normal"/>
    <w:link w:val="IntenseQuoteChar"/>
    <w:uiPriority w:val="30"/>
    <w:qFormat/>
    <w:rsid w:val="00930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DB1"/>
    <w:rPr>
      <w:i/>
      <w:iCs/>
      <w:color w:val="0F4761" w:themeColor="accent1" w:themeShade="BF"/>
    </w:rPr>
  </w:style>
  <w:style w:type="character" w:styleId="IntenseReference">
    <w:name w:val="Intense Reference"/>
    <w:basedOn w:val="DefaultParagraphFont"/>
    <w:uiPriority w:val="32"/>
    <w:qFormat/>
    <w:rsid w:val="00930DB1"/>
    <w:rPr>
      <w:b/>
      <w:bCs/>
      <w:smallCaps/>
      <w:color w:val="0F4761" w:themeColor="accent1" w:themeShade="BF"/>
      <w:spacing w:val="5"/>
    </w:rPr>
  </w:style>
  <w:style w:type="paragraph" w:styleId="Header">
    <w:name w:val="header"/>
    <w:basedOn w:val="Normal"/>
    <w:link w:val="HeaderChar"/>
    <w:uiPriority w:val="99"/>
    <w:unhideWhenUsed/>
    <w:rsid w:val="00930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DB1"/>
  </w:style>
  <w:style w:type="paragraph" w:styleId="Footer">
    <w:name w:val="footer"/>
    <w:basedOn w:val="Normal"/>
    <w:link w:val="FooterChar"/>
    <w:uiPriority w:val="99"/>
    <w:unhideWhenUsed/>
    <w:rsid w:val="00930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DB1"/>
  </w:style>
  <w:style w:type="paragraph" w:customStyle="1" w:styleId="cvgsua">
    <w:name w:val="cvgsua"/>
    <w:basedOn w:val="Normal"/>
    <w:rsid w:val="00BF37B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oypena">
    <w:name w:val="oypena"/>
    <w:basedOn w:val="DefaultParagraphFont"/>
    <w:rsid w:val="00BF37B3"/>
  </w:style>
  <w:style w:type="character" w:styleId="Hyperlink">
    <w:name w:val="Hyperlink"/>
    <w:basedOn w:val="DefaultParagraphFont"/>
    <w:uiPriority w:val="99"/>
    <w:unhideWhenUsed/>
    <w:rsid w:val="00BD55B9"/>
    <w:rPr>
      <w:color w:val="467886" w:themeColor="hyperlink"/>
      <w:u w:val="single"/>
    </w:rPr>
  </w:style>
  <w:style w:type="character" w:styleId="UnresolvedMention">
    <w:name w:val="Unresolved Mention"/>
    <w:basedOn w:val="DefaultParagraphFont"/>
    <w:uiPriority w:val="99"/>
    <w:semiHidden/>
    <w:unhideWhenUsed/>
    <w:rsid w:val="00BD55B9"/>
    <w:rPr>
      <w:color w:val="605E5C"/>
      <w:shd w:val="clear" w:color="auto" w:fill="E1DFDD"/>
    </w:rPr>
  </w:style>
  <w:style w:type="paragraph" w:styleId="NormalWeb">
    <w:name w:val="Normal (Web)"/>
    <w:basedOn w:val="Normal"/>
    <w:uiPriority w:val="99"/>
    <w:semiHidden/>
    <w:unhideWhenUsed/>
    <w:rsid w:val="008C38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3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052">
      <w:bodyDiv w:val="1"/>
      <w:marLeft w:val="0"/>
      <w:marRight w:val="0"/>
      <w:marTop w:val="0"/>
      <w:marBottom w:val="0"/>
      <w:divBdr>
        <w:top w:val="none" w:sz="0" w:space="0" w:color="auto"/>
        <w:left w:val="none" w:sz="0" w:space="0" w:color="auto"/>
        <w:bottom w:val="none" w:sz="0" w:space="0" w:color="auto"/>
        <w:right w:val="none" w:sz="0" w:space="0" w:color="auto"/>
      </w:divBdr>
    </w:div>
    <w:div w:id="208968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calgary.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7CF76-97C4-0E4A-84FB-CA3AC1ED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 Jaswal</dc:creator>
  <cp:keywords/>
  <dc:description/>
  <cp:lastModifiedBy>Simran Jaswal</cp:lastModifiedBy>
  <cp:revision>5</cp:revision>
  <dcterms:created xsi:type="dcterms:W3CDTF">2025-11-18T00:21:00Z</dcterms:created>
  <dcterms:modified xsi:type="dcterms:W3CDTF">2025-11-18T00:27:00Z</dcterms:modified>
</cp:coreProperties>
</file>